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9F7" w:rsidRDefault="002839F7" w:rsidP="002839F7">
      <w:pPr>
        <w:tabs>
          <w:tab w:val="left" w:pos="1152"/>
        </w:tabs>
        <w:spacing w:before="120" w:line="324" w:lineRule="auto"/>
      </w:pPr>
      <w:r>
        <w:tab/>
      </w:r>
      <w:r w:rsidR="00436B80">
        <w:t>Regional</w:t>
      </w:r>
      <w:r>
        <w:t xml:space="preserve"> Engineers</w:t>
      </w:r>
    </w:p>
    <w:p w:rsidR="002839F7" w:rsidRDefault="002839F7" w:rsidP="002952B0">
      <w:pPr>
        <w:tabs>
          <w:tab w:val="left" w:pos="1152"/>
        </w:tabs>
        <w:spacing w:before="120" w:line="324" w:lineRule="auto"/>
      </w:pPr>
      <w:r>
        <w:tab/>
      </w:r>
      <w:r w:rsidR="00764CE9">
        <w:rPr>
          <w:rFonts w:cs="Arial"/>
          <w:szCs w:val="22"/>
        </w:rPr>
        <w:t xml:space="preserve">Jack </w:t>
      </w:r>
      <w:r w:rsidR="00121ED0">
        <w:rPr>
          <w:rFonts w:cs="Arial"/>
          <w:szCs w:val="22"/>
        </w:rPr>
        <w:t xml:space="preserve">A. </w:t>
      </w:r>
      <w:r w:rsidR="00764CE9">
        <w:rPr>
          <w:rFonts w:cs="Arial"/>
          <w:szCs w:val="22"/>
        </w:rPr>
        <w:t>Elston</w:t>
      </w:r>
    </w:p>
    <w:p w:rsidR="002839F7" w:rsidRDefault="002839F7" w:rsidP="001A1FAB">
      <w:pPr>
        <w:tabs>
          <w:tab w:val="left" w:pos="1152"/>
        </w:tabs>
        <w:spacing w:before="120" w:line="324" w:lineRule="auto"/>
        <w:ind w:left="1166" w:hanging="1166"/>
      </w:pPr>
      <w:r>
        <w:tab/>
        <w:t xml:space="preserve">Special Provision for </w:t>
      </w:r>
      <w:r w:rsidR="00764CE9">
        <w:t xml:space="preserve">Traffic </w:t>
      </w:r>
      <w:r w:rsidR="009670A7">
        <w:t>Spotters</w:t>
      </w:r>
    </w:p>
    <w:p w:rsidR="002839F7" w:rsidRDefault="002839F7" w:rsidP="002839F7">
      <w:pPr>
        <w:tabs>
          <w:tab w:val="left" w:pos="1152"/>
        </w:tabs>
        <w:spacing w:before="120" w:line="324" w:lineRule="auto"/>
      </w:pPr>
      <w:r>
        <w:tab/>
      </w:r>
      <w:r w:rsidR="00FE63A2">
        <w:t>September 2</w:t>
      </w:r>
      <w:r w:rsidR="009F064D">
        <w:t>7</w:t>
      </w:r>
      <w:r w:rsidR="00FE63A2">
        <w:t>, 201</w:t>
      </w:r>
      <w:r w:rsidR="009F064D">
        <w:t>9</w:t>
      </w:r>
    </w:p>
    <w:p w:rsidR="002839F7" w:rsidRDefault="002839F7" w:rsidP="002839F7">
      <w:pPr>
        <w:jc w:val="both"/>
      </w:pPr>
    </w:p>
    <w:p w:rsidR="002839F7" w:rsidRDefault="002839F7" w:rsidP="002839F7">
      <w:pPr>
        <w:jc w:val="both"/>
      </w:pPr>
    </w:p>
    <w:p w:rsidR="002839F7" w:rsidRDefault="002839F7" w:rsidP="002839F7">
      <w:pPr>
        <w:jc w:val="both"/>
      </w:pPr>
    </w:p>
    <w:p w:rsidR="006D6983" w:rsidRPr="00333BCD" w:rsidRDefault="00254AE7" w:rsidP="00E63388">
      <w:bookmarkStart w:id="0" w:name="_Hlk525547733"/>
      <w:r>
        <w:t xml:space="preserve">This special provision was developed </w:t>
      </w:r>
      <w:r w:rsidR="00FA1F1D">
        <w:t xml:space="preserve">to </w:t>
      </w:r>
      <w:r w:rsidR="009670A7">
        <w:t xml:space="preserve">implement the recommendation of the IDOT/FHWA Work Zone Task Force to </w:t>
      </w:r>
      <w:r w:rsidR="00534A80">
        <w:t xml:space="preserve">use spotters in lieu of </w:t>
      </w:r>
      <w:r w:rsidR="009670A7">
        <w:t xml:space="preserve">flaggers </w:t>
      </w:r>
      <w:r w:rsidR="00534A80">
        <w:t xml:space="preserve">to support workers </w:t>
      </w:r>
      <w:r w:rsidR="009670A7">
        <w:t>on</w:t>
      </w:r>
      <w:r w:rsidR="008F030D">
        <w:t xml:space="preserve"> freeway/expressway lane closures</w:t>
      </w:r>
      <w:r w:rsidR="00333BCD">
        <w:t>, as shown on the revised Highway Standards 701401 and 701406</w:t>
      </w:r>
      <w:r w:rsidR="009670A7">
        <w:t xml:space="preserve">.  The goal of the recommendation is to reduce the </w:t>
      </w:r>
      <w:r w:rsidR="008F030D">
        <w:t xml:space="preserve">potential for </w:t>
      </w:r>
      <w:r w:rsidR="009670A7">
        <w:t>traffic queue</w:t>
      </w:r>
      <w:r w:rsidR="008F030D">
        <w:t>s</w:t>
      </w:r>
      <w:r w:rsidR="009670A7">
        <w:t xml:space="preserve">, and the associated crashes, approaching interstate and freeway work </w:t>
      </w:r>
      <w:r w:rsidR="009670A7" w:rsidRPr="00333BCD">
        <w:t>zones.</w:t>
      </w:r>
      <w:r w:rsidR="009F064D" w:rsidRPr="00333BCD">
        <w:t xml:space="preserve">  </w:t>
      </w:r>
      <w:r w:rsidR="00105743">
        <w:t xml:space="preserve">The cover memorandum of this </w:t>
      </w:r>
      <w:r w:rsidR="009F064D" w:rsidRPr="00333BCD">
        <w:t xml:space="preserve">special provision has been updated </w:t>
      </w:r>
      <w:r w:rsidR="00105743">
        <w:t xml:space="preserve">to include </w:t>
      </w:r>
      <w:r w:rsidR="009F064D" w:rsidRPr="00333BCD">
        <w:t>Highway Standard 701446</w:t>
      </w:r>
      <w:r w:rsidR="008F030D" w:rsidRPr="00333BCD">
        <w:t xml:space="preserve"> </w:t>
      </w:r>
      <w:r w:rsidR="00105743">
        <w:t>in the usage guidance</w:t>
      </w:r>
      <w:r w:rsidR="009F064D" w:rsidRPr="00333BCD">
        <w:t>.</w:t>
      </w:r>
    </w:p>
    <w:p w:rsidR="006D6983" w:rsidRPr="00333BCD" w:rsidRDefault="006D6983" w:rsidP="00E63388"/>
    <w:p w:rsidR="00FE63A2" w:rsidRDefault="00FE63A2" w:rsidP="00FE63A2">
      <w:r w:rsidRPr="00333BCD">
        <w:rPr>
          <w:szCs w:val="22"/>
        </w:rPr>
        <w:t>This</w:t>
      </w:r>
      <w:r w:rsidRPr="00333BCD">
        <w:t xml:space="preserve"> special provision should be inserted into </w:t>
      </w:r>
      <w:bookmarkStart w:id="1" w:name="_GoBack"/>
      <w:bookmarkEnd w:id="1"/>
      <w:r w:rsidRPr="00333BCD">
        <w:t>contracts</w:t>
      </w:r>
      <w:r w:rsidR="00FA1F1D" w:rsidRPr="00333BCD">
        <w:t xml:space="preserve"> utilizing traffic control and protection</w:t>
      </w:r>
      <w:r w:rsidR="009670A7" w:rsidRPr="00333BCD">
        <w:t xml:space="preserve"> standards 701401</w:t>
      </w:r>
      <w:r w:rsidR="009F064D" w:rsidRPr="00333BCD">
        <w:t>,</w:t>
      </w:r>
      <w:r w:rsidR="009670A7" w:rsidRPr="00333BCD">
        <w:t xml:space="preserve"> 701406</w:t>
      </w:r>
      <w:r w:rsidR="009F064D" w:rsidRPr="00333BCD">
        <w:t>, or 701446</w:t>
      </w:r>
      <w:r w:rsidRPr="00333BCD">
        <w:t>.</w:t>
      </w:r>
    </w:p>
    <w:p w:rsidR="00F85B22" w:rsidRDefault="00F85B22" w:rsidP="00E63388"/>
    <w:p w:rsidR="002839F7" w:rsidRDefault="002839F7" w:rsidP="00E63388">
      <w:r>
        <w:t xml:space="preserve">The districts should include the BDE Check Sheet marked with the applicable special provisions for the </w:t>
      </w:r>
      <w:r w:rsidR="00FE63A2">
        <w:t>January 1</w:t>
      </w:r>
      <w:r w:rsidR="009F064D">
        <w:t>7</w:t>
      </w:r>
      <w:r w:rsidR="00FA1F1D">
        <w:t>, 20</w:t>
      </w:r>
      <w:r w:rsidR="009F064D">
        <w:t>20</w:t>
      </w:r>
      <w:r w:rsidR="00474465">
        <w:t xml:space="preserve"> </w:t>
      </w:r>
      <w:r>
        <w:t xml:space="preserve">and subsequent lettings.  The Project </w:t>
      </w:r>
      <w:r w:rsidR="009D509A">
        <w:t>Coordination</w:t>
      </w:r>
      <w:r>
        <w:t xml:space="preserve"> and Implementation Section will include </w:t>
      </w:r>
      <w:r w:rsidR="00436B80">
        <w:t>a</w:t>
      </w:r>
      <w:r>
        <w:t xml:space="preserve"> copy in the contract.</w:t>
      </w:r>
    </w:p>
    <w:p w:rsidR="002839F7" w:rsidRDefault="002839F7" w:rsidP="00E63388"/>
    <w:p w:rsidR="002839F7" w:rsidRDefault="002839F7" w:rsidP="00E63388">
      <w:r>
        <w:t xml:space="preserve">This special provision will be available on the transfer directory </w:t>
      </w:r>
      <w:r w:rsidR="00FA1F1D">
        <w:br/>
        <w:t>September 2</w:t>
      </w:r>
      <w:r w:rsidR="009F064D">
        <w:t>7</w:t>
      </w:r>
      <w:r w:rsidR="00FE63A2">
        <w:t xml:space="preserve">, </w:t>
      </w:r>
      <w:r w:rsidR="00FA1F1D">
        <w:t>201</w:t>
      </w:r>
      <w:r w:rsidR="009F064D">
        <w:t>9</w:t>
      </w:r>
      <w:r>
        <w:t>.</w:t>
      </w:r>
    </w:p>
    <w:p w:rsidR="002839F7" w:rsidRDefault="002839F7" w:rsidP="002839F7">
      <w:pPr>
        <w:jc w:val="both"/>
      </w:pPr>
    </w:p>
    <w:p w:rsidR="002839F7" w:rsidRDefault="002839F7" w:rsidP="002839F7">
      <w:pPr>
        <w:jc w:val="both"/>
      </w:pPr>
    </w:p>
    <w:p w:rsidR="002839F7" w:rsidRDefault="002839F7" w:rsidP="002839F7">
      <w:pPr>
        <w:jc w:val="both"/>
      </w:pPr>
      <w:r>
        <w:t>80</w:t>
      </w:r>
      <w:r w:rsidR="00FA1F1D">
        <w:t>4</w:t>
      </w:r>
      <w:r w:rsidR="00477156">
        <w:t>10</w:t>
      </w:r>
      <w:r>
        <w:t>m</w:t>
      </w:r>
    </w:p>
    <w:bookmarkEnd w:id="0"/>
    <w:p w:rsidR="002839F7" w:rsidRPr="002839F7" w:rsidRDefault="002839F7" w:rsidP="002839F7"/>
    <w:p w:rsidR="002839F7" w:rsidRDefault="002839F7" w:rsidP="002839F7"/>
    <w:p w:rsidR="002839F7" w:rsidRPr="002839F7" w:rsidRDefault="002839F7" w:rsidP="002839F7">
      <w:pPr>
        <w:sectPr w:rsidR="002839F7" w:rsidRPr="002839F7" w:rsidSect="002839F7">
          <w:pgSz w:w="12240" w:h="15840" w:code="1"/>
          <w:pgMar w:top="2592" w:right="1800" w:bottom="720" w:left="2736" w:header="720" w:footer="720" w:gutter="0"/>
          <w:cols w:space="720"/>
        </w:sectPr>
      </w:pPr>
    </w:p>
    <w:p w:rsidR="00B81C7F" w:rsidRDefault="00FA1F1D">
      <w:pPr>
        <w:pStyle w:val="Heading1"/>
      </w:pPr>
      <w:r>
        <w:lastRenderedPageBreak/>
        <w:t xml:space="preserve">TRAFFIC </w:t>
      </w:r>
      <w:r w:rsidR="002A4CE6">
        <w:t>SPOTTERS</w:t>
      </w:r>
      <w:r w:rsidR="007F277B">
        <w:t xml:space="preserve"> </w:t>
      </w:r>
      <w:r w:rsidR="00DE2A53">
        <w:t>(bde)</w:t>
      </w:r>
    </w:p>
    <w:p w:rsidR="00B81C7F" w:rsidRDefault="00B81C7F">
      <w:pPr>
        <w:jc w:val="both"/>
      </w:pPr>
    </w:p>
    <w:p w:rsidR="00B97DDF" w:rsidRDefault="00B81C7F">
      <w:pPr>
        <w:jc w:val="both"/>
      </w:pPr>
      <w:r>
        <w:t xml:space="preserve">Effective:  </w:t>
      </w:r>
      <w:r w:rsidR="00FE63A2">
        <w:t>January</w:t>
      </w:r>
      <w:r w:rsidR="00767FE0">
        <w:t xml:space="preserve"> 1, 201</w:t>
      </w:r>
      <w:r w:rsidR="00FA1F1D">
        <w:t>9</w:t>
      </w:r>
    </w:p>
    <w:p w:rsidR="00417B37" w:rsidRDefault="00417B37" w:rsidP="002A4CE6">
      <w:pPr>
        <w:jc w:val="both"/>
      </w:pPr>
    </w:p>
    <w:p w:rsidR="00F60BE4" w:rsidRPr="00F60BE4" w:rsidRDefault="00B2674A" w:rsidP="002A4CE6">
      <w:pPr>
        <w:jc w:val="both"/>
        <w:rPr>
          <w:rFonts w:cs="Arial"/>
        </w:rPr>
      </w:pPr>
      <w:r>
        <w:rPr>
          <w:rFonts w:cs="Arial"/>
        </w:rPr>
        <w:t>Revise</w:t>
      </w:r>
      <w:r w:rsidR="002A4CE6">
        <w:rPr>
          <w:rFonts w:cs="Arial"/>
        </w:rPr>
        <w:t xml:space="preserve"> </w:t>
      </w:r>
      <w:r w:rsidR="00764062">
        <w:rPr>
          <w:rFonts w:cs="Arial"/>
        </w:rPr>
        <w:t>Article 701.1</w:t>
      </w:r>
      <w:r w:rsidR="002A4CE6">
        <w:rPr>
          <w:rFonts w:cs="Arial"/>
        </w:rPr>
        <w:t>3</w:t>
      </w:r>
      <w:r w:rsidR="00F60BE4" w:rsidRPr="00F60BE4">
        <w:rPr>
          <w:rFonts w:cs="Arial"/>
        </w:rPr>
        <w:t xml:space="preserve"> </w:t>
      </w:r>
      <w:r w:rsidR="00F60BE4">
        <w:rPr>
          <w:rFonts w:cs="Arial"/>
        </w:rPr>
        <w:t xml:space="preserve">of the </w:t>
      </w:r>
      <w:r w:rsidR="00B97DDF">
        <w:rPr>
          <w:rFonts w:cs="Arial"/>
        </w:rPr>
        <w:t xml:space="preserve">Standard </w:t>
      </w:r>
      <w:r w:rsidR="00F60BE4">
        <w:rPr>
          <w:rFonts w:cs="Arial"/>
        </w:rPr>
        <w:t xml:space="preserve">Specifications </w:t>
      </w:r>
      <w:r>
        <w:rPr>
          <w:rFonts w:cs="Arial"/>
        </w:rPr>
        <w:t>to read</w:t>
      </w:r>
      <w:r w:rsidR="00F60BE4" w:rsidRPr="00F60BE4">
        <w:rPr>
          <w:rFonts w:cs="Arial"/>
        </w:rPr>
        <w:t>:</w:t>
      </w:r>
    </w:p>
    <w:p w:rsidR="00FE63A2" w:rsidRPr="00764062" w:rsidRDefault="00FE63A2" w:rsidP="002A4CE6">
      <w:pPr>
        <w:jc w:val="both"/>
        <w:rPr>
          <w:snapToGrid w:val="0"/>
          <w:szCs w:val="22"/>
        </w:rPr>
      </w:pPr>
    </w:p>
    <w:p w:rsidR="00534A80" w:rsidRPr="00534A80" w:rsidRDefault="00534A80" w:rsidP="00534A80">
      <w:pPr>
        <w:tabs>
          <w:tab w:val="left" w:pos="360"/>
          <w:tab w:val="left" w:pos="1170"/>
        </w:tabs>
        <w:ind w:firstLine="270"/>
        <w:jc w:val="both"/>
        <w:rPr>
          <w:rFonts w:cs="Arial"/>
          <w:szCs w:val="22"/>
        </w:rPr>
      </w:pPr>
      <w:r>
        <w:rPr>
          <w:rFonts w:cs="Arial"/>
          <w:szCs w:val="22"/>
        </w:rPr>
        <w:t>“</w:t>
      </w:r>
      <w:r>
        <w:rPr>
          <w:rFonts w:cs="Arial"/>
          <w:szCs w:val="22"/>
        </w:rPr>
        <w:tab/>
      </w:r>
      <w:r w:rsidRPr="00534A80">
        <w:rPr>
          <w:rFonts w:cs="Arial"/>
          <w:b/>
          <w:szCs w:val="22"/>
        </w:rPr>
        <w:t>701.13</w:t>
      </w:r>
      <w:r w:rsidRPr="00534A80">
        <w:rPr>
          <w:rFonts w:cs="Arial"/>
          <w:b/>
          <w:szCs w:val="22"/>
        </w:rPr>
        <w:tab/>
        <w:t>Flaggers and Spotters.</w:t>
      </w:r>
      <w:r w:rsidRPr="00534A80">
        <w:rPr>
          <w:rFonts w:cs="Arial"/>
          <w:szCs w:val="22"/>
        </w:rPr>
        <w:t xml:space="preserve">  Flaggers shall be certified by an agency approved by the Department.  While on the job site, each flagger shall have in his/her possession a current driver’s license and a current flagger certification I.D. card.  For non-drivers, the Illinois Identification Card issued by the Secretary of State will meet the requirement for a current driver’s license.  This certification requirement may be waived by the Engineer for emergency situations that arise due to actions beyond the Contractor's control where flagging is needed to maintain safe traffic control on a temporary basis.  Spotters are defined as certified flaggers that provide support to workers by monitoring traffic.</w:t>
      </w:r>
    </w:p>
    <w:p w:rsidR="00534A80" w:rsidRPr="00534A80" w:rsidRDefault="00534A80" w:rsidP="00534A80">
      <w:pPr>
        <w:ind w:firstLine="360"/>
        <w:jc w:val="both"/>
        <w:rPr>
          <w:rFonts w:cs="Arial"/>
          <w:szCs w:val="22"/>
        </w:rPr>
      </w:pPr>
    </w:p>
    <w:p w:rsidR="00534A80" w:rsidRPr="00534A80" w:rsidRDefault="00534A80" w:rsidP="00534A80">
      <w:pPr>
        <w:ind w:firstLine="360"/>
        <w:jc w:val="both"/>
        <w:rPr>
          <w:rFonts w:cs="Arial"/>
          <w:szCs w:val="22"/>
        </w:rPr>
      </w:pPr>
      <w:r w:rsidRPr="00534A80">
        <w:rPr>
          <w:rFonts w:cs="Arial"/>
          <w:szCs w:val="22"/>
        </w:rPr>
        <w:t xml:space="preserve">Flaggers and spotters shall be stationed to the satisfaction of the Engineer and be equipped with a fluorescent orange, fluorescent yellow/green, or a combination of fluorescent orange and fluorescent yellow/green vest meeting the requirements of ANSI/ISEA 107-2004 or ANSI/ISEA 107-2010 for Conspicuity Class 2 garments.  Flaggers shall be equipped with a stop/slow traffic control sign.  Spotters shall be equipped with a loud warning device.  The warning sound shall be identifiable by workers so they can take evasive action when necessary.  Other types of garments may be substituted for the vest </w:t>
      </w:r>
      <w:proofErr w:type="gramStart"/>
      <w:r w:rsidRPr="00534A80">
        <w:rPr>
          <w:rFonts w:cs="Arial"/>
          <w:szCs w:val="22"/>
        </w:rPr>
        <w:t>as long as</w:t>
      </w:r>
      <w:proofErr w:type="gramEnd"/>
      <w:r w:rsidRPr="00534A80">
        <w:rPr>
          <w:rFonts w:cs="Arial"/>
          <w:szCs w:val="22"/>
        </w:rPr>
        <w:t xml:space="preserve"> the garments have a manufacturer’s tag identifying them as meeting the ANSI Class 2 requirement.  The longitudinal placement of the flagger may be increased up to 100 ft (30 m) from that shown on the plans to improve the visibility of the flagger.  Flaggers shall not encroach on the open lane of traffic unless traffic has been stopped.  Spotters shall not encroach on the open lane of traffic, nor interact with or control the flow of traffic.</w:t>
      </w:r>
    </w:p>
    <w:p w:rsidR="00534A80" w:rsidRPr="00534A80" w:rsidRDefault="00534A80" w:rsidP="00534A80">
      <w:pPr>
        <w:ind w:firstLine="360"/>
        <w:jc w:val="both"/>
        <w:rPr>
          <w:rFonts w:cs="Arial"/>
          <w:szCs w:val="22"/>
        </w:rPr>
      </w:pPr>
    </w:p>
    <w:p w:rsidR="00534A80" w:rsidRPr="00534A80" w:rsidRDefault="00534A80" w:rsidP="00534A80">
      <w:pPr>
        <w:ind w:firstLine="360"/>
        <w:jc w:val="both"/>
        <w:rPr>
          <w:rFonts w:cs="Arial"/>
          <w:szCs w:val="22"/>
        </w:rPr>
      </w:pPr>
      <w:r w:rsidRPr="00534A80">
        <w:rPr>
          <w:rFonts w:cs="Arial"/>
          <w:szCs w:val="22"/>
        </w:rPr>
        <w:t>For nighttime flagging, flaggers shall be illuminated by an overhead light source providing a minimum vertical illuminance of 10 fc (108 lux) measured 1 ft (300 mm) out from the flagger’s chest.  The bottom of any luminaire shall be a minimum of 10 ft (3 m) above the pavement.  Luminaire(s) shall be shielded to minimize glare to approaching traffic and trespass light to adjoining properties.</w:t>
      </w:r>
      <w:r>
        <w:rPr>
          <w:rFonts w:cs="Arial"/>
          <w:szCs w:val="22"/>
        </w:rPr>
        <w:t xml:space="preserve">  </w:t>
      </w:r>
      <w:r w:rsidRPr="00534A80">
        <w:rPr>
          <w:rFonts w:cs="Arial"/>
          <w:szCs w:val="22"/>
        </w:rPr>
        <w:t>Nighttime flaggers shall be equipped with fluorescent orange or fluorescent orange and fluorescent yellow/green apparel meeting the requirements of ANSI/ISEA 107-2004 or ANSI/ISEA 107-2010 for Conspicuity Class 3 garments.</w:t>
      </w:r>
    </w:p>
    <w:p w:rsidR="00534A80" w:rsidRPr="00534A80" w:rsidRDefault="00534A80" w:rsidP="00534A80">
      <w:pPr>
        <w:ind w:firstLine="360"/>
        <w:jc w:val="both"/>
        <w:rPr>
          <w:rFonts w:cs="Arial"/>
          <w:szCs w:val="22"/>
        </w:rPr>
      </w:pPr>
    </w:p>
    <w:p w:rsidR="00534A80" w:rsidRPr="00534A80" w:rsidRDefault="00534A80" w:rsidP="00534A80">
      <w:pPr>
        <w:ind w:firstLine="360"/>
        <w:jc w:val="both"/>
        <w:rPr>
          <w:rFonts w:cs="Arial"/>
          <w:szCs w:val="22"/>
        </w:rPr>
      </w:pPr>
      <w:r w:rsidRPr="00534A80">
        <w:rPr>
          <w:rFonts w:cs="Arial"/>
          <w:szCs w:val="22"/>
        </w:rPr>
        <w:t>Flaggers and spotters shall be provided per the traffic control plan and as follows.</w:t>
      </w:r>
    </w:p>
    <w:p w:rsidR="00534A80" w:rsidRPr="00534A80" w:rsidRDefault="00534A80" w:rsidP="00534A80">
      <w:pPr>
        <w:ind w:firstLine="360"/>
        <w:jc w:val="both"/>
        <w:rPr>
          <w:rFonts w:cs="Arial"/>
          <w:szCs w:val="22"/>
        </w:rPr>
      </w:pPr>
    </w:p>
    <w:p w:rsidR="00534A80" w:rsidRPr="00534A80" w:rsidRDefault="00534A80" w:rsidP="00534A80">
      <w:pPr>
        <w:ind w:left="720" w:hanging="360"/>
        <w:jc w:val="both"/>
        <w:rPr>
          <w:rFonts w:cs="Arial"/>
          <w:szCs w:val="22"/>
        </w:rPr>
      </w:pPr>
      <w:r w:rsidRPr="00534A80">
        <w:rPr>
          <w:rFonts w:cs="Arial"/>
          <w:szCs w:val="22"/>
        </w:rPr>
        <w:t>(a)</w:t>
      </w:r>
      <w:r w:rsidRPr="00534A80">
        <w:rPr>
          <w:rFonts w:cs="Arial"/>
          <w:szCs w:val="22"/>
        </w:rPr>
        <w:tab/>
        <w:t xml:space="preserve">Two-Lane Highways.  Two flaggers will be required for each separate operation where two-way traffic is maintained over one lane of pavement.  Work operations controlled by flaggers shall be no more than 1 mile (1600 m) in length.  Flaggers </w:t>
      </w:r>
      <w:proofErr w:type="gramStart"/>
      <w:r w:rsidRPr="00534A80">
        <w:rPr>
          <w:rFonts w:cs="Arial"/>
          <w:szCs w:val="22"/>
        </w:rPr>
        <w:t>shall be in sight of each other or in direct communication at all times</w:t>
      </w:r>
      <w:proofErr w:type="gramEnd"/>
      <w:r w:rsidRPr="00534A80">
        <w:rPr>
          <w:rFonts w:cs="Arial"/>
          <w:szCs w:val="22"/>
        </w:rPr>
        <w:t>.  Direct communication shall be obtained by using portable two-way radios or walkie-talkies.</w:t>
      </w:r>
    </w:p>
    <w:p w:rsidR="00534A80" w:rsidRPr="00534A80" w:rsidRDefault="00534A80" w:rsidP="00534A80">
      <w:pPr>
        <w:ind w:left="720"/>
        <w:jc w:val="both"/>
        <w:rPr>
          <w:rFonts w:cs="Arial"/>
          <w:szCs w:val="22"/>
        </w:rPr>
      </w:pPr>
    </w:p>
    <w:p w:rsidR="00534A80" w:rsidRPr="00534A80" w:rsidRDefault="00534A80" w:rsidP="00534A80">
      <w:pPr>
        <w:ind w:left="720"/>
        <w:jc w:val="both"/>
        <w:rPr>
          <w:rFonts w:cs="Arial"/>
          <w:szCs w:val="22"/>
        </w:rPr>
      </w:pPr>
      <w:r w:rsidRPr="00534A80">
        <w:rPr>
          <w:rFonts w:cs="Arial"/>
          <w:szCs w:val="22"/>
        </w:rPr>
        <w:t xml:space="preserve">The Engineer will determine when a side road or entrance shall be closed to traffic.  A flagger will be required at each side road or entrance remaining open to traffic within the </w:t>
      </w:r>
      <w:r w:rsidRPr="00534A80">
        <w:rPr>
          <w:rFonts w:cs="Arial"/>
          <w:szCs w:val="22"/>
        </w:rPr>
        <w:lastRenderedPageBreak/>
        <w:t>operation where two-way traffic is maintained on one lane of pavement.  The flagger shall be positioned as shown on the plans or as directed by the Engineer.</w:t>
      </w:r>
    </w:p>
    <w:p w:rsidR="00534A80" w:rsidRPr="00534A80" w:rsidRDefault="00534A80" w:rsidP="00534A80">
      <w:pPr>
        <w:ind w:left="720"/>
        <w:jc w:val="both"/>
        <w:rPr>
          <w:rFonts w:cs="Arial"/>
          <w:szCs w:val="22"/>
        </w:rPr>
      </w:pPr>
    </w:p>
    <w:p w:rsidR="00534A80" w:rsidRPr="00534A80" w:rsidRDefault="00534A80" w:rsidP="00534A80">
      <w:pPr>
        <w:ind w:left="720" w:hanging="360"/>
        <w:jc w:val="both"/>
        <w:rPr>
          <w:rFonts w:cs="Arial"/>
          <w:szCs w:val="22"/>
        </w:rPr>
      </w:pPr>
      <w:r w:rsidRPr="00534A80">
        <w:rPr>
          <w:rFonts w:cs="Arial"/>
          <w:szCs w:val="22"/>
        </w:rPr>
        <w:t>(b)</w:t>
      </w:r>
      <w:r w:rsidRPr="00534A80">
        <w:rPr>
          <w:rFonts w:cs="Arial"/>
          <w:szCs w:val="22"/>
        </w:rPr>
        <w:tab/>
        <w:t>Multi-Lane Highways.  At all times where traffic is restricted to less than the normal number of lanes on a multilane pavement with a posted speed limit greater than 40 mph and the workers are present, but not separated from the traffic by physical barriers, a flagger or spotter shall be furnished as shown on the plans.  Flaggers shall warn and direct traffic.  Spotters shall monitor traffic conditions and warn workers of errant approaching vehicles or other hazardous conditions as they occur.  One flagger will be required for each separate activity of an operation that requires frequent encroachment in a lane open to traffic.  One spotter will be required for each separate activity with workers near the edge of the open lane or with their backs facing traffic.</w:t>
      </w:r>
    </w:p>
    <w:p w:rsidR="00534A80" w:rsidRPr="00534A80" w:rsidRDefault="00534A80" w:rsidP="00534A80">
      <w:pPr>
        <w:ind w:left="720"/>
        <w:jc w:val="both"/>
        <w:rPr>
          <w:rFonts w:cs="Arial"/>
          <w:szCs w:val="22"/>
        </w:rPr>
      </w:pPr>
    </w:p>
    <w:p w:rsidR="00534A80" w:rsidRPr="00534A80" w:rsidRDefault="00534A80" w:rsidP="00534A80">
      <w:pPr>
        <w:ind w:firstLine="360"/>
        <w:jc w:val="both"/>
        <w:rPr>
          <w:rFonts w:cs="Arial"/>
          <w:szCs w:val="22"/>
        </w:rPr>
      </w:pPr>
      <w:r w:rsidRPr="00534A80">
        <w:rPr>
          <w:rFonts w:cs="Arial"/>
          <w:szCs w:val="22"/>
        </w:rPr>
        <w:t>Flaggers will not be required when no work is being performed, unless there is a lane closure on two-lane, two-way pavement.</w:t>
      </w:r>
      <w:r>
        <w:rPr>
          <w:rFonts w:cs="Arial"/>
          <w:szCs w:val="22"/>
        </w:rPr>
        <w:t>”</w:t>
      </w:r>
    </w:p>
    <w:p w:rsidR="002A4CE6" w:rsidRPr="002A4CE6" w:rsidRDefault="002A4CE6" w:rsidP="002A4CE6">
      <w:pPr>
        <w:jc w:val="both"/>
        <w:rPr>
          <w:rFonts w:cs="Arial"/>
          <w:szCs w:val="22"/>
        </w:rPr>
      </w:pPr>
    </w:p>
    <w:p w:rsidR="00FA1F1D" w:rsidRPr="00764062" w:rsidRDefault="00FA1F1D" w:rsidP="008E35AD">
      <w:pPr>
        <w:jc w:val="both"/>
        <w:rPr>
          <w:rFonts w:cs="Arial"/>
          <w:szCs w:val="22"/>
        </w:rPr>
      </w:pPr>
    </w:p>
    <w:p w:rsidR="00B81C7F" w:rsidRPr="00764062" w:rsidRDefault="00B81C7F" w:rsidP="008E35AD">
      <w:pPr>
        <w:jc w:val="both"/>
        <w:rPr>
          <w:rFonts w:cs="Arial"/>
          <w:szCs w:val="22"/>
        </w:rPr>
      </w:pPr>
      <w:r w:rsidRPr="00764062">
        <w:rPr>
          <w:rFonts w:cs="Arial"/>
          <w:szCs w:val="22"/>
        </w:rPr>
        <w:t>80</w:t>
      </w:r>
      <w:r w:rsidR="00477156">
        <w:rPr>
          <w:rFonts w:cs="Arial"/>
          <w:szCs w:val="22"/>
        </w:rPr>
        <w:t>410</w:t>
      </w:r>
    </w:p>
    <w:sectPr w:rsidR="00B81C7F" w:rsidRPr="00764062" w:rsidSect="00C97F38">
      <w:headerReference w:type="even" r:id="rId8"/>
      <w:footerReference w:type="even" r:id="rId9"/>
      <w:footerReference w:type="default" r:id="rId10"/>
      <w:headerReference w:type="first" r:id="rId11"/>
      <w:footerReference w:type="first" r:id="rId12"/>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5BD" w:rsidRDefault="00FF05BD">
      <w:r>
        <w:separator/>
      </w:r>
    </w:p>
  </w:endnote>
  <w:endnote w:type="continuationSeparator" w:id="0">
    <w:p w:rsidR="00FF05BD" w:rsidRDefault="00FF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AB" w:rsidRDefault="001A1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AB" w:rsidRDefault="001A1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AB" w:rsidRDefault="001A1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5BD" w:rsidRDefault="00FF05BD">
      <w:r>
        <w:separator/>
      </w:r>
    </w:p>
  </w:footnote>
  <w:footnote w:type="continuationSeparator" w:id="0">
    <w:p w:rsidR="00FF05BD" w:rsidRDefault="00FF0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AB" w:rsidRDefault="001A1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AB" w:rsidRDefault="001A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15F73"/>
    <w:rsid w:val="00004146"/>
    <w:rsid w:val="00004E7E"/>
    <w:rsid w:val="00005777"/>
    <w:rsid w:val="0000601B"/>
    <w:rsid w:val="000068CE"/>
    <w:rsid w:val="00006976"/>
    <w:rsid w:val="00011902"/>
    <w:rsid w:val="00012699"/>
    <w:rsid w:val="000166FD"/>
    <w:rsid w:val="00022791"/>
    <w:rsid w:val="000232A2"/>
    <w:rsid w:val="000246FB"/>
    <w:rsid w:val="00035F07"/>
    <w:rsid w:val="000360A5"/>
    <w:rsid w:val="00043028"/>
    <w:rsid w:val="0004779D"/>
    <w:rsid w:val="00051CC0"/>
    <w:rsid w:val="00054106"/>
    <w:rsid w:val="00055F5B"/>
    <w:rsid w:val="000602E9"/>
    <w:rsid w:val="0006081D"/>
    <w:rsid w:val="0006185A"/>
    <w:rsid w:val="00064DAA"/>
    <w:rsid w:val="00073324"/>
    <w:rsid w:val="00076A6D"/>
    <w:rsid w:val="00083903"/>
    <w:rsid w:val="00084127"/>
    <w:rsid w:val="00084DC0"/>
    <w:rsid w:val="0008689E"/>
    <w:rsid w:val="00092BFC"/>
    <w:rsid w:val="00093E4F"/>
    <w:rsid w:val="00096C74"/>
    <w:rsid w:val="00097A75"/>
    <w:rsid w:val="000A18C0"/>
    <w:rsid w:val="000A2F48"/>
    <w:rsid w:val="000A399D"/>
    <w:rsid w:val="000A4466"/>
    <w:rsid w:val="000A6088"/>
    <w:rsid w:val="000B6C3D"/>
    <w:rsid w:val="000B6FAB"/>
    <w:rsid w:val="000C0C1B"/>
    <w:rsid w:val="000C235C"/>
    <w:rsid w:val="000C4BF6"/>
    <w:rsid w:val="000D1C87"/>
    <w:rsid w:val="000D3643"/>
    <w:rsid w:val="000D589D"/>
    <w:rsid w:val="000D5F65"/>
    <w:rsid w:val="000E27D6"/>
    <w:rsid w:val="000E3653"/>
    <w:rsid w:val="000E4D1B"/>
    <w:rsid w:val="000E6B3A"/>
    <w:rsid w:val="000E711B"/>
    <w:rsid w:val="000F61FA"/>
    <w:rsid w:val="00103E09"/>
    <w:rsid w:val="00105743"/>
    <w:rsid w:val="0011121B"/>
    <w:rsid w:val="001131FB"/>
    <w:rsid w:val="00121ED0"/>
    <w:rsid w:val="00122C42"/>
    <w:rsid w:val="00123BB4"/>
    <w:rsid w:val="00130D75"/>
    <w:rsid w:val="0013203E"/>
    <w:rsid w:val="00132DBA"/>
    <w:rsid w:val="00142F26"/>
    <w:rsid w:val="00151015"/>
    <w:rsid w:val="001534AC"/>
    <w:rsid w:val="00153A74"/>
    <w:rsid w:val="00157A4D"/>
    <w:rsid w:val="00172E58"/>
    <w:rsid w:val="0017412C"/>
    <w:rsid w:val="00180E4D"/>
    <w:rsid w:val="001819EE"/>
    <w:rsid w:val="001839C1"/>
    <w:rsid w:val="001858BD"/>
    <w:rsid w:val="00187260"/>
    <w:rsid w:val="00190994"/>
    <w:rsid w:val="00192C07"/>
    <w:rsid w:val="00194CB6"/>
    <w:rsid w:val="001A1FAB"/>
    <w:rsid w:val="001A3782"/>
    <w:rsid w:val="001A3A9E"/>
    <w:rsid w:val="001A56EC"/>
    <w:rsid w:val="001A6205"/>
    <w:rsid w:val="001B0F9A"/>
    <w:rsid w:val="001B3759"/>
    <w:rsid w:val="001B6516"/>
    <w:rsid w:val="001C009A"/>
    <w:rsid w:val="001C177C"/>
    <w:rsid w:val="001C231D"/>
    <w:rsid w:val="001C6D3B"/>
    <w:rsid w:val="001D09A2"/>
    <w:rsid w:val="001D398A"/>
    <w:rsid w:val="001D401F"/>
    <w:rsid w:val="001E0099"/>
    <w:rsid w:val="001E617D"/>
    <w:rsid w:val="001F0181"/>
    <w:rsid w:val="001F13C9"/>
    <w:rsid w:val="001F176A"/>
    <w:rsid w:val="001F3F95"/>
    <w:rsid w:val="001F5E84"/>
    <w:rsid w:val="001F655C"/>
    <w:rsid w:val="00201A0D"/>
    <w:rsid w:val="00204208"/>
    <w:rsid w:val="002066CE"/>
    <w:rsid w:val="0021216B"/>
    <w:rsid w:val="00215BF0"/>
    <w:rsid w:val="002210EA"/>
    <w:rsid w:val="0022141B"/>
    <w:rsid w:val="00222889"/>
    <w:rsid w:val="002252E7"/>
    <w:rsid w:val="00237DFE"/>
    <w:rsid w:val="00240778"/>
    <w:rsid w:val="00245AB6"/>
    <w:rsid w:val="00250CA3"/>
    <w:rsid w:val="00252E71"/>
    <w:rsid w:val="00254AE7"/>
    <w:rsid w:val="00255AD9"/>
    <w:rsid w:val="00257AC5"/>
    <w:rsid w:val="002613A9"/>
    <w:rsid w:val="00261480"/>
    <w:rsid w:val="002701F8"/>
    <w:rsid w:val="0027345A"/>
    <w:rsid w:val="00275451"/>
    <w:rsid w:val="0028335A"/>
    <w:rsid w:val="002839F7"/>
    <w:rsid w:val="0028757E"/>
    <w:rsid w:val="00294FD3"/>
    <w:rsid w:val="002952B0"/>
    <w:rsid w:val="002A2DBB"/>
    <w:rsid w:val="002A30A1"/>
    <w:rsid w:val="002A4CE6"/>
    <w:rsid w:val="002B5A7C"/>
    <w:rsid w:val="002B7A98"/>
    <w:rsid w:val="002C1E05"/>
    <w:rsid w:val="002C2433"/>
    <w:rsid w:val="002C2B9D"/>
    <w:rsid w:val="002C631E"/>
    <w:rsid w:val="002D1CBE"/>
    <w:rsid w:val="002E1741"/>
    <w:rsid w:val="002E17C7"/>
    <w:rsid w:val="002E33DE"/>
    <w:rsid w:val="002F21A8"/>
    <w:rsid w:val="002F35D1"/>
    <w:rsid w:val="002F792A"/>
    <w:rsid w:val="0030335A"/>
    <w:rsid w:val="00303903"/>
    <w:rsid w:val="00311181"/>
    <w:rsid w:val="003277EC"/>
    <w:rsid w:val="0033157A"/>
    <w:rsid w:val="00333830"/>
    <w:rsid w:val="00333BCD"/>
    <w:rsid w:val="00333CF2"/>
    <w:rsid w:val="00337EF9"/>
    <w:rsid w:val="0034054F"/>
    <w:rsid w:val="00341DF4"/>
    <w:rsid w:val="0034240B"/>
    <w:rsid w:val="00344984"/>
    <w:rsid w:val="00345F4C"/>
    <w:rsid w:val="00346F26"/>
    <w:rsid w:val="00353681"/>
    <w:rsid w:val="003564EB"/>
    <w:rsid w:val="003628ED"/>
    <w:rsid w:val="003634F8"/>
    <w:rsid w:val="00363693"/>
    <w:rsid w:val="003647F7"/>
    <w:rsid w:val="0036566F"/>
    <w:rsid w:val="0037328A"/>
    <w:rsid w:val="00377265"/>
    <w:rsid w:val="003823CB"/>
    <w:rsid w:val="00386555"/>
    <w:rsid w:val="00387DF7"/>
    <w:rsid w:val="003A2691"/>
    <w:rsid w:val="003A4B15"/>
    <w:rsid w:val="003A62EF"/>
    <w:rsid w:val="003A6BD6"/>
    <w:rsid w:val="003A6E89"/>
    <w:rsid w:val="003A7315"/>
    <w:rsid w:val="003B1508"/>
    <w:rsid w:val="003B30F2"/>
    <w:rsid w:val="003D08BF"/>
    <w:rsid w:val="003D1E68"/>
    <w:rsid w:val="003D3844"/>
    <w:rsid w:val="003D3AA8"/>
    <w:rsid w:val="003D61DF"/>
    <w:rsid w:val="003D6CD4"/>
    <w:rsid w:val="003D787A"/>
    <w:rsid w:val="003E28FC"/>
    <w:rsid w:val="003E2FC5"/>
    <w:rsid w:val="003F1094"/>
    <w:rsid w:val="003F4C93"/>
    <w:rsid w:val="003F5559"/>
    <w:rsid w:val="003F59C5"/>
    <w:rsid w:val="003F6895"/>
    <w:rsid w:val="003F74C1"/>
    <w:rsid w:val="003F7E8F"/>
    <w:rsid w:val="00402B4D"/>
    <w:rsid w:val="0040323E"/>
    <w:rsid w:val="00404A2D"/>
    <w:rsid w:val="00405F5B"/>
    <w:rsid w:val="00407D99"/>
    <w:rsid w:val="0041108E"/>
    <w:rsid w:val="00415E8B"/>
    <w:rsid w:val="00417B37"/>
    <w:rsid w:val="00422918"/>
    <w:rsid w:val="004231A0"/>
    <w:rsid w:val="00423984"/>
    <w:rsid w:val="00425663"/>
    <w:rsid w:val="00426EC8"/>
    <w:rsid w:val="00426FB1"/>
    <w:rsid w:val="004307F2"/>
    <w:rsid w:val="00435F32"/>
    <w:rsid w:val="00436B80"/>
    <w:rsid w:val="004532CE"/>
    <w:rsid w:val="00453D6E"/>
    <w:rsid w:val="004566A6"/>
    <w:rsid w:val="00457A2E"/>
    <w:rsid w:val="00461413"/>
    <w:rsid w:val="004616BA"/>
    <w:rsid w:val="00462D7A"/>
    <w:rsid w:val="0046548D"/>
    <w:rsid w:val="004666B3"/>
    <w:rsid w:val="00467918"/>
    <w:rsid w:val="00472240"/>
    <w:rsid w:val="00472FFA"/>
    <w:rsid w:val="00473462"/>
    <w:rsid w:val="00474465"/>
    <w:rsid w:val="00477156"/>
    <w:rsid w:val="00483112"/>
    <w:rsid w:val="00485810"/>
    <w:rsid w:val="00486B81"/>
    <w:rsid w:val="0049327E"/>
    <w:rsid w:val="00496ABC"/>
    <w:rsid w:val="004972BD"/>
    <w:rsid w:val="004A2D2A"/>
    <w:rsid w:val="004A79CC"/>
    <w:rsid w:val="004B18C5"/>
    <w:rsid w:val="004B75DC"/>
    <w:rsid w:val="004C67A4"/>
    <w:rsid w:val="004D2AF7"/>
    <w:rsid w:val="004D7F28"/>
    <w:rsid w:val="004E0D63"/>
    <w:rsid w:val="004E358F"/>
    <w:rsid w:val="004F54E1"/>
    <w:rsid w:val="004F6CE7"/>
    <w:rsid w:val="00510691"/>
    <w:rsid w:val="005116E1"/>
    <w:rsid w:val="0051186F"/>
    <w:rsid w:val="00512F21"/>
    <w:rsid w:val="00514BE1"/>
    <w:rsid w:val="00515F73"/>
    <w:rsid w:val="00517177"/>
    <w:rsid w:val="0052314E"/>
    <w:rsid w:val="0052325B"/>
    <w:rsid w:val="005333DC"/>
    <w:rsid w:val="00534A80"/>
    <w:rsid w:val="0053693B"/>
    <w:rsid w:val="00541696"/>
    <w:rsid w:val="0054684A"/>
    <w:rsid w:val="00547143"/>
    <w:rsid w:val="005473EB"/>
    <w:rsid w:val="00550CED"/>
    <w:rsid w:val="00553937"/>
    <w:rsid w:val="00555C21"/>
    <w:rsid w:val="005612C1"/>
    <w:rsid w:val="0056171A"/>
    <w:rsid w:val="00563712"/>
    <w:rsid w:val="00565C0A"/>
    <w:rsid w:val="00567D72"/>
    <w:rsid w:val="0057000A"/>
    <w:rsid w:val="00571179"/>
    <w:rsid w:val="005758DA"/>
    <w:rsid w:val="00592681"/>
    <w:rsid w:val="005969E9"/>
    <w:rsid w:val="005A01D5"/>
    <w:rsid w:val="005A0F50"/>
    <w:rsid w:val="005A39AE"/>
    <w:rsid w:val="005A6FE0"/>
    <w:rsid w:val="005B3060"/>
    <w:rsid w:val="005B4F42"/>
    <w:rsid w:val="005C1972"/>
    <w:rsid w:val="005C7AA6"/>
    <w:rsid w:val="005D1F46"/>
    <w:rsid w:val="005D70FC"/>
    <w:rsid w:val="005E07DB"/>
    <w:rsid w:val="005E1D94"/>
    <w:rsid w:val="005E299C"/>
    <w:rsid w:val="005E315F"/>
    <w:rsid w:val="005E7304"/>
    <w:rsid w:val="005F2B50"/>
    <w:rsid w:val="006011DE"/>
    <w:rsid w:val="00604BC5"/>
    <w:rsid w:val="006134A0"/>
    <w:rsid w:val="0062089D"/>
    <w:rsid w:val="00622ADA"/>
    <w:rsid w:val="0062425A"/>
    <w:rsid w:val="006256AE"/>
    <w:rsid w:val="00626C60"/>
    <w:rsid w:val="00627C63"/>
    <w:rsid w:val="006333C3"/>
    <w:rsid w:val="0064018F"/>
    <w:rsid w:val="00642198"/>
    <w:rsid w:val="00645EBC"/>
    <w:rsid w:val="00654D17"/>
    <w:rsid w:val="0065543A"/>
    <w:rsid w:val="006555C7"/>
    <w:rsid w:val="00656248"/>
    <w:rsid w:val="006569BF"/>
    <w:rsid w:val="006656CC"/>
    <w:rsid w:val="00667694"/>
    <w:rsid w:val="00670CE7"/>
    <w:rsid w:val="00674479"/>
    <w:rsid w:val="00674A35"/>
    <w:rsid w:val="00682A62"/>
    <w:rsid w:val="00682EDD"/>
    <w:rsid w:val="00684AC4"/>
    <w:rsid w:val="00685011"/>
    <w:rsid w:val="00685BCC"/>
    <w:rsid w:val="00695FBF"/>
    <w:rsid w:val="00697D2A"/>
    <w:rsid w:val="006A0BF5"/>
    <w:rsid w:val="006A2983"/>
    <w:rsid w:val="006A2DE6"/>
    <w:rsid w:val="006B2AEC"/>
    <w:rsid w:val="006B5450"/>
    <w:rsid w:val="006C52A9"/>
    <w:rsid w:val="006C54DF"/>
    <w:rsid w:val="006C6700"/>
    <w:rsid w:val="006C67C3"/>
    <w:rsid w:val="006D2520"/>
    <w:rsid w:val="006D5996"/>
    <w:rsid w:val="006D6983"/>
    <w:rsid w:val="006E0799"/>
    <w:rsid w:val="006E377A"/>
    <w:rsid w:val="006E569C"/>
    <w:rsid w:val="006F699F"/>
    <w:rsid w:val="00703D09"/>
    <w:rsid w:val="00704FC2"/>
    <w:rsid w:val="00707139"/>
    <w:rsid w:val="00707DB4"/>
    <w:rsid w:val="0071327D"/>
    <w:rsid w:val="0071577D"/>
    <w:rsid w:val="00720907"/>
    <w:rsid w:val="00721634"/>
    <w:rsid w:val="00727F5E"/>
    <w:rsid w:val="00731F94"/>
    <w:rsid w:val="007371BA"/>
    <w:rsid w:val="00740ABD"/>
    <w:rsid w:val="00741E02"/>
    <w:rsid w:val="007445AF"/>
    <w:rsid w:val="0074634A"/>
    <w:rsid w:val="007466BF"/>
    <w:rsid w:val="00746FC6"/>
    <w:rsid w:val="00747421"/>
    <w:rsid w:val="00754661"/>
    <w:rsid w:val="0075568F"/>
    <w:rsid w:val="00760FCF"/>
    <w:rsid w:val="00764062"/>
    <w:rsid w:val="00764CE9"/>
    <w:rsid w:val="00767FE0"/>
    <w:rsid w:val="00770231"/>
    <w:rsid w:val="00770324"/>
    <w:rsid w:val="00771EA1"/>
    <w:rsid w:val="00774971"/>
    <w:rsid w:val="00780F1C"/>
    <w:rsid w:val="00784778"/>
    <w:rsid w:val="007861E3"/>
    <w:rsid w:val="0078750E"/>
    <w:rsid w:val="00791B52"/>
    <w:rsid w:val="007932AB"/>
    <w:rsid w:val="00796C0D"/>
    <w:rsid w:val="007A01F0"/>
    <w:rsid w:val="007A2779"/>
    <w:rsid w:val="007A638F"/>
    <w:rsid w:val="007A69BA"/>
    <w:rsid w:val="007A7A92"/>
    <w:rsid w:val="007B1547"/>
    <w:rsid w:val="007B241D"/>
    <w:rsid w:val="007B4B7D"/>
    <w:rsid w:val="007B65E2"/>
    <w:rsid w:val="007C4190"/>
    <w:rsid w:val="007D082E"/>
    <w:rsid w:val="007D152E"/>
    <w:rsid w:val="007D1F22"/>
    <w:rsid w:val="007D4F59"/>
    <w:rsid w:val="007D7268"/>
    <w:rsid w:val="007E2B56"/>
    <w:rsid w:val="007E2D13"/>
    <w:rsid w:val="007E35C9"/>
    <w:rsid w:val="007E36BE"/>
    <w:rsid w:val="007E372F"/>
    <w:rsid w:val="007E4B41"/>
    <w:rsid w:val="007E5F69"/>
    <w:rsid w:val="007F130D"/>
    <w:rsid w:val="007F1914"/>
    <w:rsid w:val="007F277B"/>
    <w:rsid w:val="007F6A11"/>
    <w:rsid w:val="007F77FE"/>
    <w:rsid w:val="007F785D"/>
    <w:rsid w:val="00803BE4"/>
    <w:rsid w:val="008056BA"/>
    <w:rsid w:val="00806318"/>
    <w:rsid w:val="00811DAC"/>
    <w:rsid w:val="00813C9D"/>
    <w:rsid w:val="008171D0"/>
    <w:rsid w:val="008206C2"/>
    <w:rsid w:val="00822B2B"/>
    <w:rsid w:val="0082749C"/>
    <w:rsid w:val="0083253A"/>
    <w:rsid w:val="00833956"/>
    <w:rsid w:val="00835161"/>
    <w:rsid w:val="0083542F"/>
    <w:rsid w:val="008354DE"/>
    <w:rsid w:val="008459CA"/>
    <w:rsid w:val="00847CFF"/>
    <w:rsid w:val="0085000D"/>
    <w:rsid w:val="00851BD7"/>
    <w:rsid w:val="008563FC"/>
    <w:rsid w:val="00862C7A"/>
    <w:rsid w:val="00864615"/>
    <w:rsid w:val="00873763"/>
    <w:rsid w:val="008910B8"/>
    <w:rsid w:val="00894DF1"/>
    <w:rsid w:val="008A022B"/>
    <w:rsid w:val="008A4577"/>
    <w:rsid w:val="008A5F20"/>
    <w:rsid w:val="008B1A8D"/>
    <w:rsid w:val="008B4D08"/>
    <w:rsid w:val="008B5199"/>
    <w:rsid w:val="008B76CC"/>
    <w:rsid w:val="008C2448"/>
    <w:rsid w:val="008C43A2"/>
    <w:rsid w:val="008C48CE"/>
    <w:rsid w:val="008D0827"/>
    <w:rsid w:val="008D0FA5"/>
    <w:rsid w:val="008D6FE2"/>
    <w:rsid w:val="008E2F50"/>
    <w:rsid w:val="008E35AD"/>
    <w:rsid w:val="008E4675"/>
    <w:rsid w:val="008E6141"/>
    <w:rsid w:val="008E7E6F"/>
    <w:rsid w:val="008F030D"/>
    <w:rsid w:val="008F16CA"/>
    <w:rsid w:val="008F18FB"/>
    <w:rsid w:val="008F4469"/>
    <w:rsid w:val="008F7624"/>
    <w:rsid w:val="00900C50"/>
    <w:rsid w:val="00904B9B"/>
    <w:rsid w:val="00907AEC"/>
    <w:rsid w:val="00911AC9"/>
    <w:rsid w:val="009133E0"/>
    <w:rsid w:val="00913B19"/>
    <w:rsid w:val="00915449"/>
    <w:rsid w:val="0092256E"/>
    <w:rsid w:val="00923214"/>
    <w:rsid w:val="00923EB1"/>
    <w:rsid w:val="0092497D"/>
    <w:rsid w:val="009404FF"/>
    <w:rsid w:val="0094079D"/>
    <w:rsid w:val="00945442"/>
    <w:rsid w:val="00945676"/>
    <w:rsid w:val="00951E65"/>
    <w:rsid w:val="0095259B"/>
    <w:rsid w:val="00955913"/>
    <w:rsid w:val="00956A95"/>
    <w:rsid w:val="009670A7"/>
    <w:rsid w:val="009713CB"/>
    <w:rsid w:val="009716C7"/>
    <w:rsid w:val="00983CF9"/>
    <w:rsid w:val="00983E09"/>
    <w:rsid w:val="00985253"/>
    <w:rsid w:val="00992409"/>
    <w:rsid w:val="009B0C77"/>
    <w:rsid w:val="009B3142"/>
    <w:rsid w:val="009B6303"/>
    <w:rsid w:val="009C4CF3"/>
    <w:rsid w:val="009C5CD4"/>
    <w:rsid w:val="009D0D13"/>
    <w:rsid w:val="009D3826"/>
    <w:rsid w:val="009D509A"/>
    <w:rsid w:val="009D52CF"/>
    <w:rsid w:val="009D62D6"/>
    <w:rsid w:val="009D6BF3"/>
    <w:rsid w:val="009E009C"/>
    <w:rsid w:val="009E551D"/>
    <w:rsid w:val="009E606E"/>
    <w:rsid w:val="009E7F94"/>
    <w:rsid w:val="009F064D"/>
    <w:rsid w:val="009F16C4"/>
    <w:rsid w:val="00A038A8"/>
    <w:rsid w:val="00A05E3B"/>
    <w:rsid w:val="00A20783"/>
    <w:rsid w:val="00A21889"/>
    <w:rsid w:val="00A21C23"/>
    <w:rsid w:val="00A23F39"/>
    <w:rsid w:val="00A2465F"/>
    <w:rsid w:val="00A2662B"/>
    <w:rsid w:val="00A30454"/>
    <w:rsid w:val="00A32B50"/>
    <w:rsid w:val="00A32FBB"/>
    <w:rsid w:val="00A360AD"/>
    <w:rsid w:val="00A3667E"/>
    <w:rsid w:val="00A36A92"/>
    <w:rsid w:val="00A421BC"/>
    <w:rsid w:val="00A42569"/>
    <w:rsid w:val="00A42F72"/>
    <w:rsid w:val="00A435D3"/>
    <w:rsid w:val="00A529AC"/>
    <w:rsid w:val="00A5357B"/>
    <w:rsid w:val="00A55AB4"/>
    <w:rsid w:val="00A6249D"/>
    <w:rsid w:val="00A63053"/>
    <w:rsid w:val="00A6415C"/>
    <w:rsid w:val="00A64A98"/>
    <w:rsid w:val="00A656AE"/>
    <w:rsid w:val="00A65985"/>
    <w:rsid w:val="00A70EE3"/>
    <w:rsid w:val="00A7124C"/>
    <w:rsid w:val="00A76EFB"/>
    <w:rsid w:val="00A808D0"/>
    <w:rsid w:val="00A81A4A"/>
    <w:rsid w:val="00A82E42"/>
    <w:rsid w:val="00A8316C"/>
    <w:rsid w:val="00A91CE3"/>
    <w:rsid w:val="00A93DBF"/>
    <w:rsid w:val="00AA009D"/>
    <w:rsid w:val="00AA7D1D"/>
    <w:rsid w:val="00AC5F32"/>
    <w:rsid w:val="00AC7C17"/>
    <w:rsid w:val="00AD2DD3"/>
    <w:rsid w:val="00AD3B77"/>
    <w:rsid w:val="00AD6033"/>
    <w:rsid w:val="00AE2D5C"/>
    <w:rsid w:val="00AE4918"/>
    <w:rsid w:val="00AF0B64"/>
    <w:rsid w:val="00AF2584"/>
    <w:rsid w:val="00AF525F"/>
    <w:rsid w:val="00AF537F"/>
    <w:rsid w:val="00AF5CDA"/>
    <w:rsid w:val="00B00E97"/>
    <w:rsid w:val="00B04239"/>
    <w:rsid w:val="00B0599E"/>
    <w:rsid w:val="00B0650C"/>
    <w:rsid w:val="00B11D7D"/>
    <w:rsid w:val="00B13126"/>
    <w:rsid w:val="00B1526F"/>
    <w:rsid w:val="00B17157"/>
    <w:rsid w:val="00B22433"/>
    <w:rsid w:val="00B23CC4"/>
    <w:rsid w:val="00B2674A"/>
    <w:rsid w:val="00B32A16"/>
    <w:rsid w:val="00B4093F"/>
    <w:rsid w:val="00B426E3"/>
    <w:rsid w:val="00B47DC2"/>
    <w:rsid w:val="00B51B4A"/>
    <w:rsid w:val="00B56F01"/>
    <w:rsid w:val="00B63490"/>
    <w:rsid w:val="00B659D1"/>
    <w:rsid w:val="00B67C63"/>
    <w:rsid w:val="00B70435"/>
    <w:rsid w:val="00B706DF"/>
    <w:rsid w:val="00B76FC9"/>
    <w:rsid w:val="00B81C7F"/>
    <w:rsid w:val="00B8210B"/>
    <w:rsid w:val="00B84A13"/>
    <w:rsid w:val="00B85293"/>
    <w:rsid w:val="00B93415"/>
    <w:rsid w:val="00B951B1"/>
    <w:rsid w:val="00B97426"/>
    <w:rsid w:val="00B97DDF"/>
    <w:rsid w:val="00BA5BE5"/>
    <w:rsid w:val="00BA6CC0"/>
    <w:rsid w:val="00BA6D45"/>
    <w:rsid w:val="00BB4619"/>
    <w:rsid w:val="00BC15CE"/>
    <w:rsid w:val="00BC1A97"/>
    <w:rsid w:val="00BC2A9B"/>
    <w:rsid w:val="00BC4924"/>
    <w:rsid w:val="00BC54DE"/>
    <w:rsid w:val="00BC5CB0"/>
    <w:rsid w:val="00BC7DB1"/>
    <w:rsid w:val="00BE68BA"/>
    <w:rsid w:val="00BE7F2B"/>
    <w:rsid w:val="00BF1066"/>
    <w:rsid w:val="00BF10F9"/>
    <w:rsid w:val="00BF164C"/>
    <w:rsid w:val="00BF2BE2"/>
    <w:rsid w:val="00BF5525"/>
    <w:rsid w:val="00BF55B5"/>
    <w:rsid w:val="00BF7838"/>
    <w:rsid w:val="00C04C8D"/>
    <w:rsid w:val="00C0534D"/>
    <w:rsid w:val="00C0577E"/>
    <w:rsid w:val="00C12C1A"/>
    <w:rsid w:val="00C16CAB"/>
    <w:rsid w:val="00C21FEF"/>
    <w:rsid w:val="00C23206"/>
    <w:rsid w:val="00C23EBB"/>
    <w:rsid w:val="00C2463E"/>
    <w:rsid w:val="00C30792"/>
    <w:rsid w:val="00C32786"/>
    <w:rsid w:val="00C346A2"/>
    <w:rsid w:val="00C36F27"/>
    <w:rsid w:val="00C41F06"/>
    <w:rsid w:val="00C422D9"/>
    <w:rsid w:val="00C42E3D"/>
    <w:rsid w:val="00C44B2E"/>
    <w:rsid w:val="00C4777B"/>
    <w:rsid w:val="00C47D56"/>
    <w:rsid w:val="00C47F84"/>
    <w:rsid w:val="00C561A4"/>
    <w:rsid w:val="00C56B40"/>
    <w:rsid w:val="00C61AA4"/>
    <w:rsid w:val="00C632D6"/>
    <w:rsid w:val="00C65CA5"/>
    <w:rsid w:val="00C6762A"/>
    <w:rsid w:val="00C72DAD"/>
    <w:rsid w:val="00C72FCA"/>
    <w:rsid w:val="00C73945"/>
    <w:rsid w:val="00C77463"/>
    <w:rsid w:val="00C800AD"/>
    <w:rsid w:val="00C80A6E"/>
    <w:rsid w:val="00C8468B"/>
    <w:rsid w:val="00C9039B"/>
    <w:rsid w:val="00C9289F"/>
    <w:rsid w:val="00C92ED4"/>
    <w:rsid w:val="00C96839"/>
    <w:rsid w:val="00C968BE"/>
    <w:rsid w:val="00C97F38"/>
    <w:rsid w:val="00CA370C"/>
    <w:rsid w:val="00CA440E"/>
    <w:rsid w:val="00CB0792"/>
    <w:rsid w:val="00CB366B"/>
    <w:rsid w:val="00CC4869"/>
    <w:rsid w:val="00CD375D"/>
    <w:rsid w:val="00CD455A"/>
    <w:rsid w:val="00CD4E61"/>
    <w:rsid w:val="00CD7C1D"/>
    <w:rsid w:val="00CE101E"/>
    <w:rsid w:val="00CE12DA"/>
    <w:rsid w:val="00CE2740"/>
    <w:rsid w:val="00CF3D8D"/>
    <w:rsid w:val="00CF7CD9"/>
    <w:rsid w:val="00D10EC1"/>
    <w:rsid w:val="00D12C51"/>
    <w:rsid w:val="00D16570"/>
    <w:rsid w:val="00D17240"/>
    <w:rsid w:val="00D17C30"/>
    <w:rsid w:val="00D20703"/>
    <w:rsid w:val="00D226C3"/>
    <w:rsid w:val="00D27328"/>
    <w:rsid w:val="00D27677"/>
    <w:rsid w:val="00D30B5C"/>
    <w:rsid w:val="00D31DE3"/>
    <w:rsid w:val="00D427DD"/>
    <w:rsid w:val="00D47591"/>
    <w:rsid w:val="00D50CA8"/>
    <w:rsid w:val="00D53471"/>
    <w:rsid w:val="00D548CF"/>
    <w:rsid w:val="00D5616F"/>
    <w:rsid w:val="00D56889"/>
    <w:rsid w:val="00D629CC"/>
    <w:rsid w:val="00D65EE4"/>
    <w:rsid w:val="00D66723"/>
    <w:rsid w:val="00D67478"/>
    <w:rsid w:val="00D67E89"/>
    <w:rsid w:val="00D734BA"/>
    <w:rsid w:val="00D74141"/>
    <w:rsid w:val="00D8287F"/>
    <w:rsid w:val="00D832AF"/>
    <w:rsid w:val="00D8467E"/>
    <w:rsid w:val="00D84700"/>
    <w:rsid w:val="00D8745C"/>
    <w:rsid w:val="00D938C5"/>
    <w:rsid w:val="00D95E18"/>
    <w:rsid w:val="00DA792A"/>
    <w:rsid w:val="00DB1310"/>
    <w:rsid w:val="00DB5506"/>
    <w:rsid w:val="00DC5520"/>
    <w:rsid w:val="00DC7522"/>
    <w:rsid w:val="00DD03CA"/>
    <w:rsid w:val="00DD1DFE"/>
    <w:rsid w:val="00DD7DE3"/>
    <w:rsid w:val="00DE2A53"/>
    <w:rsid w:val="00DE5F36"/>
    <w:rsid w:val="00DF3571"/>
    <w:rsid w:val="00E002BE"/>
    <w:rsid w:val="00E03591"/>
    <w:rsid w:val="00E12040"/>
    <w:rsid w:val="00E12582"/>
    <w:rsid w:val="00E12C47"/>
    <w:rsid w:val="00E14CFC"/>
    <w:rsid w:val="00E15BDB"/>
    <w:rsid w:val="00E1641E"/>
    <w:rsid w:val="00E2011F"/>
    <w:rsid w:val="00E228CA"/>
    <w:rsid w:val="00E23263"/>
    <w:rsid w:val="00E23AAE"/>
    <w:rsid w:val="00E241DF"/>
    <w:rsid w:val="00E27A33"/>
    <w:rsid w:val="00E3355A"/>
    <w:rsid w:val="00E33DDE"/>
    <w:rsid w:val="00E33F3B"/>
    <w:rsid w:val="00E3446B"/>
    <w:rsid w:val="00E3754F"/>
    <w:rsid w:val="00E432BF"/>
    <w:rsid w:val="00E43C4A"/>
    <w:rsid w:val="00E468D7"/>
    <w:rsid w:val="00E52632"/>
    <w:rsid w:val="00E61700"/>
    <w:rsid w:val="00E61D54"/>
    <w:rsid w:val="00E61E38"/>
    <w:rsid w:val="00E620D4"/>
    <w:rsid w:val="00E63388"/>
    <w:rsid w:val="00E64E83"/>
    <w:rsid w:val="00E65E78"/>
    <w:rsid w:val="00E66948"/>
    <w:rsid w:val="00E67D1F"/>
    <w:rsid w:val="00E70345"/>
    <w:rsid w:val="00E711F2"/>
    <w:rsid w:val="00E73092"/>
    <w:rsid w:val="00E7525D"/>
    <w:rsid w:val="00E77B61"/>
    <w:rsid w:val="00E8267C"/>
    <w:rsid w:val="00E82C3F"/>
    <w:rsid w:val="00E86D23"/>
    <w:rsid w:val="00E93394"/>
    <w:rsid w:val="00E952CA"/>
    <w:rsid w:val="00E95B0F"/>
    <w:rsid w:val="00E97CC0"/>
    <w:rsid w:val="00EA4F5F"/>
    <w:rsid w:val="00EA4FC2"/>
    <w:rsid w:val="00EB43B2"/>
    <w:rsid w:val="00EC3D7D"/>
    <w:rsid w:val="00EC4F16"/>
    <w:rsid w:val="00ED12BF"/>
    <w:rsid w:val="00ED1867"/>
    <w:rsid w:val="00ED4E26"/>
    <w:rsid w:val="00EE0551"/>
    <w:rsid w:val="00EE0DD8"/>
    <w:rsid w:val="00EE1C07"/>
    <w:rsid w:val="00EE36A8"/>
    <w:rsid w:val="00EE3855"/>
    <w:rsid w:val="00EE4418"/>
    <w:rsid w:val="00EE5F15"/>
    <w:rsid w:val="00EE78EF"/>
    <w:rsid w:val="00EE7C39"/>
    <w:rsid w:val="00EF0343"/>
    <w:rsid w:val="00EF04B2"/>
    <w:rsid w:val="00EF2C3E"/>
    <w:rsid w:val="00EF2DD3"/>
    <w:rsid w:val="00F01BC0"/>
    <w:rsid w:val="00F028B2"/>
    <w:rsid w:val="00F038E4"/>
    <w:rsid w:val="00F04B6D"/>
    <w:rsid w:val="00F05217"/>
    <w:rsid w:val="00F063FD"/>
    <w:rsid w:val="00F10EA8"/>
    <w:rsid w:val="00F137B8"/>
    <w:rsid w:val="00F25D28"/>
    <w:rsid w:val="00F315C5"/>
    <w:rsid w:val="00F42535"/>
    <w:rsid w:val="00F43A39"/>
    <w:rsid w:val="00F45D2E"/>
    <w:rsid w:val="00F47DC6"/>
    <w:rsid w:val="00F52991"/>
    <w:rsid w:val="00F54D66"/>
    <w:rsid w:val="00F60989"/>
    <w:rsid w:val="00F60BE4"/>
    <w:rsid w:val="00F62A67"/>
    <w:rsid w:val="00F63B11"/>
    <w:rsid w:val="00F64BC4"/>
    <w:rsid w:val="00F6642F"/>
    <w:rsid w:val="00F66F70"/>
    <w:rsid w:val="00F679AB"/>
    <w:rsid w:val="00F701B9"/>
    <w:rsid w:val="00F71527"/>
    <w:rsid w:val="00F7389F"/>
    <w:rsid w:val="00F746F3"/>
    <w:rsid w:val="00F75901"/>
    <w:rsid w:val="00F77112"/>
    <w:rsid w:val="00F815E0"/>
    <w:rsid w:val="00F83FCE"/>
    <w:rsid w:val="00F844EC"/>
    <w:rsid w:val="00F85B22"/>
    <w:rsid w:val="00F86826"/>
    <w:rsid w:val="00F90117"/>
    <w:rsid w:val="00F94673"/>
    <w:rsid w:val="00F955AF"/>
    <w:rsid w:val="00F9693A"/>
    <w:rsid w:val="00FA1235"/>
    <w:rsid w:val="00FA1F1D"/>
    <w:rsid w:val="00FA4821"/>
    <w:rsid w:val="00FA4CFA"/>
    <w:rsid w:val="00FA7620"/>
    <w:rsid w:val="00FB3A45"/>
    <w:rsid w:val="00FB517B"/>
    <w:rsid w:val="00FB7F7E"/>
    <w:rsid w:val="00FC3E31"/>
    <w:rsid w:val="00FC75A0"/>
    <w:rsid w:val="00FE0868"/>
    <w:rsid w:val="00FE1DB9"/>
    <w:rsid w:val="00FE5C4B"/>
    <w:rsid w:val="00FE63A2"/>
    <w:rsid w:val="00FE6735"/>
    <w:rsid w:val="00FE6C9B"/>
    <w:rsid w:val="00FE7C2A"/>
    <w:rsid w:val="00FF05BD"/>
    <w:rsid w:val="00FF11EF"/>
    <w:rsid w:val="00FF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25182E1"/>
  <w15:chartTrackingRefBased/>
  <w15:docId w15:val="{07ADA358-AA28-4B5F-98BB-35CA1BA8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link w:val="HeaderChar"/>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customStyle="1" w:styleId="Style1">
    <w:name w:val="Style1"/>
    <w:basedOn w:val="Normal"/>
  </w:style>
  <w:style w:type="paragraph" w:styleId="Footer">
    <w:name w:val="footer"/>
    <w:basedOn w:val="Normal"/>
    <w:link w:val="FooterChar"/>
    <w:pPr>
      <w:tabs>
        <w:tab w:val="center" w:pos="4320"/>
        <w:tab w:val="right" w:pos="8640"/>
      </w:tabs>
    </w:pPr>
  </w:style>
  <w:style w:type="paragraph" w:customStyle="1" w:styleId="SpecBook">
    <w:name w:val="Spec Book"/>
    <w:basedOn w:val="Heading2"/>
    <w:next w:val="Normal"/>
    <w:pPr>
      <w:spacing w:before="0" w:after="0"/>
      <w:ind w:firstLine="360"/>
      <w:jc w:val="center"/>
    </w:pPr>
    <w:rPr>
      <w:i w:val="0"/>
      <w:snapToGrid w:val="0"/>
      <w:sz w:val="18"/>
    </w:rPr>
  </w:style>
  <w:style w:type="character" w:customStyle="1" w:styleId="Article">
    <w:name w:val="Article"/>
    <w:rPr>
      <w:rFonts w:ascii="Arial" w:hAnsi="Arial"/>
      <w:b/>
      <w:sz w:val="18"/>
    </w:rPr>
  </w:style>
  <w:style w:type="character" w:customStyle="1" w:styleId="Section">
    <w:name w:val="Section"/>
    <w:basedOn w:val="Article"/>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paragraph" w:styleId="BodyTextIndent3">
    <w:name w:val="Body Text Indent 3"/>
    <w:basedOn w:val="Normal"/>
    <w:link w:val="BodyTextIndent3Char"/>
    <w:rsid w:val="00E82C3F"/>
    <w:pPr>
      <w:spacing w:after="120"/>
      <w:ind w:left="360"/>
    </w:pPr>
    <w:rPr>
      <w:sz w:val="16"/>
      <w:szCs w:val="16"/>
    </w:rPr>
  </w:style>
  <w:style w:type="character" w:customStyle="1" w:styleId="BodyTextIndent3Char">
    <w:name w:val="Body Text Indent 3 Char"/>
    <w:link w:val="BodyTextIndent3"/>
    <w:rsid w:val="00E82C3F"/>
    <w:rPr>
      <w:rFonts w:ascii="Arial" w:hAnsi="Arial"/>
      <w:sz w:val="16"/>
      <w:szCs w:val="16"/>
    </w:rPr>
  </w:style>
  <w:style w:type="character" w:styleId="PageNumber">
    <w:name w:val="page number"/>
    <w:basedOn w:val="DefaultParagraphFont"/>
    <w:rsid w:val="00C9039B"/>
  </w:style>
  <w:style w:type="character" w:customStyle="1" w:styleId="FooterChar">
    <w:name w:val="Footer Char"/>
    <w:link w:val="Footer"/>
    <w:rsid w:val="00425663"/>
    <w:rPr>
      <w:rFonts w:ascii="Arial" w:hAnsi="Arial"/>
      <w:sz w:val="22"/>
    </w:rPr>
  </w:style>
  <w:style w:type="table" w:styleId="TableGrid">
    <w:name w:val="Table Grid"/>
    <w:basedOn w:val="TableNormal"/>
    <w:rsid w:val="00533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8E35AD"/>
    <w:pPr>
      <w:spacing w:after="120"/>
      <w:ind w:left="360"/>
    </w:pPr>
  </w:style>
  <w:style w:type="character" w:customStyle="1" w:styleId="BodyTextIndentChar">
    <w:name w:val="Body Text Indent Char"/>
    <w:link w:val="BodyTextIndent"/>
    <w:rsid w:val="008E35A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4B71-330B-4DA7-88C9-95695025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30040E59.dotm</Template>
  <TotalTime>20</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Traffic Spotters</vt:lpstr>
    </vt:vector>
  </TitlesOfParts>
  <Company>IDOT</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Spotters</dc:title>
  <dc:subject>E 01/01/19</dc:subject>
  <dc:creator>BDE</dc:creator>
  <cp:keywords/>
  <dc:description/>
  <cp:lastModifiedBy>Kelley, Allysia</cp:lastModifiedBy>
  <cp:revision>8</cp:revision>
  <cp:lastPrinted>2019-09-23T13:08:00Z</cp:lastPrinted>
  <dcterms:created xsi:type="dcterms:W3CDTF">2019-08-07T16:04:00Z</dcterms:created>
  <dcterms:modified xsi:type="dcterms:W3CDTF">2019-09-27T14:22:00Z</dcterms:modified>
</cp:coreProperties>
</file>