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518F9" w14:textId="6AE817F5" w:rsidR="003055BB" w:rsidRPr="003055BB" w:rsidRDefault="003055BB" w:rsidP="003055BB">
      <w:pPr>
        <w:pStyle w:val="Heading2"/>
        <w:rPr>
          <w:rFonts w:ascii="Arial" w:hAnsi="Arial" w:cs="Arial"/>
          <w:b/>
          <w:bCs/>
          <w:color w:val="auto"/>
          <w:sz w:val="22"/>
          <w:szCs w:val="22"/>
          <w:u w:val="single"/>
        </w:rPr>
      </w:pPr>
      <w:r w:rsidRPr="003055BB">
        <w:rPr>
          <w:rFonts w:ascii="Arial" w:hAnsi="Arial" w:cs="Arial"/>
          <w:b/>
          <w:bCs/>
          <w:color w:val="auto"/>
          <w:sz w:val="22"/>
          <w:szCs w:val="22"/>
          <w:u w:val="single"/>
        </w:rPr>
        <w:t>SERVICE INSTALLATION (TRAFFIC SIGNALS)</w:t>
      </w:r>
    </w:p>
    <w:p w14:paraId="083BF9D4" w14:textId="77777777" w:rsidR="003055BB" w:rsidRDefault="003055BB" w:rsidP="003055BB">
      <w:pPr>
        <w:autoSpaceDE w:val="0"/>
        <w:autoSpaceDN w:val="0"/>
        <w:adjustRightInd w:val="0"/>
        <w:rPr>
          <w:rFonts w:cs="Arial"/>
        </w:rPr>
      </w:pPr>
    </w:p>
    <w:p w14:paraId="7FEBE6BF" w14:textId="77777777" w:rsidR="003055BB" w:rsidRDefault="003055BB" w:rsidP="003055BB">
      <w:pPr>
        <w:pStyle w:val="xxmsonormal"/>
        <w:jc w:val="both"/>
      </w:pPr>
      <w:r>
        <w:rPr>
          <w:rFonts w:ascii="Arial" w:hAnsi="Arial" w:cs="Arial"/>
        </w:rPr>
        <w:t>Revise Section 805 of the Standard Specifications to read:</w:t>
      </w:r>
    </w:p>
    <w:p w14:paraId="18001816" w14:textId="77777777" w:rsidR="003055BB" w:rsidRDefault="003055BB" w:rsidP="003055BB">
      <w:pPr>
        <w:pStyle w:val="xxmsonormal"/>
        <w:jc w:val="both"/>
      </w:pPr>
      <w:r>
        <w:rPr>
          <w:rFonts w:ascii="Arial" w:hAnsi="Arial" w:cs="Arial"/>
        </w:rPr>
        <w:t> </w:t>
      </w:r>
    </w:p>
    <w:p w14:paraId="56A8D0A5" w14:textId="77777777" w:rsidR="003055BB" w:rsidRDefault="003055BB" w:rsidP="003055BB">
      <w:pPr>
        <w:pStyle w:val="xxmsonormal"/>
        <w:jc w:val="both"/>
      </w:pPr>
      <w:r w:rsidRPr="000E53B0">
        <w:rPr>
          <w:rFonts w:ascii="Arial" w:hAnsi="Arial" w:cs="Arial"/>
          <w:b/>
          <w:bCs/>
        </w:rPr>
        <w:t>Description:</w:t>
      </w:r>
      <w:r>
        <w:t xml:space="preserve"> </w:t>
      </w:r>
      <w:r>
        <w:rPr>
          <w:rFonts w:ascii="Arial" w:hAnsi="Arial" w:cs="Arial"/>
        </w:rPr>
        <w:t xml:space="preserve">This work shall consist of all materials and labor required to install, modify, or extend the electric service installation.  </w:t>
      </w:r>
    </w:p>
    <w:p w14:paraId="25591CD0" w14:textId="77777777" w:rsidR="003055BB" w:rsidRDefault="003055BB" w:rsidP="003055BB">
      <w:pPr>
        <w:pStyle w:val="xxmsonormal"/>
        <w:jc w:val="both"/>
      </w:pPr>
      <w:r>
        <w:rPr>
          <w:rFonts w:ascii="Arial" w:hAnsi="Arial" w:cs="Arial"/>
          <w:sz w:val="16"/>
          <w:szCs w:val="16"/>
        </w:rPr>
        <w:t> </w:t>
      </w:r>
    </w:p>
    <w:p w14:paraId="66B32D5A" w14:textId="77777777" w:rsidR="003055BB" w:rsidRPr="00563B62" w:rsidRDefault="003055BB" w:rsidP="003055BB">
      <w:pPr>
        <w:pStyle w:val="xxmsonormal"/>
        <w:jc w:val="both"/>
        <w:rPr>
          <w:b/>
          <w:bCs/>
        </w:rPr>
      </w:pPr>
      <w:r w:rsidRPr="00563B62">
        <w:rPr>
          <w:rFonts w:ascii="Arial" w:hAnsi="Arial" w:cs="Arial"/>
          <w:b/>
          <w:bCs/>
        </w:rPr>
        <w:t>General</w:t>
      </w:r>
      <w:r>
        <w:rPr>
          <w:rFonts w:ascii="Arial" w:hAnsi="Arial" w:cs="Arial"/>
          <w:b/>
          <w:bCs/>
        </w:rPr>
        <w:t>:</w:t>
      </w:r>
    </w:p>
    <w:p w14:paraId="02DFD514" w14:textId="77777777" w:rsidR="003055BB" w:rsidRDefault="003055BB" w:rsidP="003055BB">
      <w:pPr>
        <w:pStyle w:val="xxmsonormal"/>
        <w:jc w:val="both"/>
      </w:pPr>
      <w:r>
        <w:rPr>
          <w:rFonts w:ascii="Arial" w:hAnsi="Arial" w:cs="Arial"/>
        </w:rPr>
        <w:t>The electric service installation shall be the electric service disconnecting means and it shall be identified as suitable for use as service equipment.</w:t>
      </w:r>
    </w:p>
    <w:p w14:paraId="5FFE0BA6" w14:textId="77777777" w:rsidR="003055BB" w:rsidRDefault="003055BB" w:rsidP="003055BB">
      <w:pPr>
        <w:pStyle w:val="xxmsonormal"/>
        <w:jc w:val="both"/>
      </w:pPr>
      <w:r>
        <w:rPr>
          <w:rFonts w:ascii="Arial" w:hAnsi="Arial" w:cs="Arial"/>
          <w:sz w:val="16"/>
          <w:szCs w:val="16"/>
        </w:rPr>
        <w:t> </w:t>
      </w:r>
    </w:p>
    <w:p w14:paraId="3011BFAB" w14:textId="77777777" w:rsidR="003055BB" w:rsidRDefault="003055BB" w:rsidP="003055BB">
      <w:pPr>
        <w:pStyle w:val="xxmsonormal"/>
        <w:jc w:val="both"/>
        <w:rPr>
          <w:rFonts w:ascii="Arial" w:hAnsi="Arial" w:cs="Arial"/>
        </w:rPr>
      </w:pPr>
      <w:r>
        <w:rPr>
          <w:rFonts w:ascii="Arial" w:hAnsi="Arial" w:cs="Arial"/>
        </w:rPr>
        <w:t>The Contractor must request in writing for service and/or service modification within 10 days of contract award and must follow-up with the electric utility to assure all necessary documents and payment are received by the utility.  The Contractor shall forward copies of all correspondence between the contractor and utility company to the Engineer and Owner.  The service agreement and sketch shall be submitted for signature to the Owner.</w:t>
      </w:r>
    </w:p>
    <w:p w14:paraId="33F2BDDE" w14:textId="77777777" w:rsidR="003055BB" w:rsidRDefault="003055BB" w:rsidP="003055BB">
      <w:pPr>
        <w:pStyle w:val="xxmsonormal"/>
        <w:jc w:val="both"/>
        <w:rPr>
          <w:rFonts w:ascii="Arial" w:hAnsi="Arial" w:cs="Arial"/>
        </w:rPr>
      </w:pPr>
    </w:p>
    <w:p w14:paraId="026AB0B7" w14:textId="77777777" w:rsidR="003055BB" w:rsidRDefault="003055BB" w:rsidP="003055BB">
      <w:pPr>
        <w:pStyle w:val="xxmsonormal"/>
        <w:jc w:val="both"/>
        <w:rPr>
          <w:rFonts w:ascii="Arial" w:hAnsi="Arial" w:cs="Arial"/>
        </w:rPr>
      </w:pPr>
    </w:p>
    <w:p w14:paraId="5209FF65" w14:textId="77777777" w:rsidR="003055BB" w:rsidRDefault="003055BB" w:rsidP="003055BB">
      <w:pPr>
        <w:pStyle w:val="xxmsonormal"/>
        <w:jc w:val="both"/>
        <w:rPr>
          <w:rFonts w:ascii="Arial" w:hAnsi="Arial" w:cs="Arial"/>
        </w:rPr>
      </w:pPr>
    </w:p>
    <w:p w14:paraId="6497B842" w14:textId="77777777" w:rsidR="003055BB" w:rsidRDefault="003055BB" w:rsidP="003055BB">
      <w:pPr>
        <w:pStyle w:val="xxmsonormal"/>
        <w:jc w:val="both"/>
      </w:pPr>
    </w:p>
    <w:p w14:paraId="2B84A268" w14:textId="77777777" w:rsidR="003055BB" w:rsidRPr="00563B62" w:rsidRDefault="003055BB" w:rsidP="003055BB">
      <w:pPr>
        <w:pStyle w:val="xxmsonormal"/>
        <w:jc w:val="both"/>
        <w:rPr>
          <w:b/>
          <w:bCs/>
        </w:rPr>
      </w:pPr>
      <w:r w:rsidRPr="00563B62">
        <w:rPr>
          <w:rFonts w:ascii="Arial" w:hAnsi="Arial" w:cs="Arial"/>
          <w:b/>
          <w:bCs/>
        </w:rPr>
        <w:t>Materials</w:t>
      </w:r>
      <w:r>
        <w:rPr>
          <w:rFonts w:ascii="Arial" w:hAnsi="Arial" w:cs="Arial"/>
          <w:b/>
          <w:bCs/>
        </w:rPr>
        <w:t>:</w:t>
      </w:r>
    </w:p>
    <w:p w14:paraId="1A572EE0" w14:textId="77777777" w:rsidR="003055BB" w:rsidRDefault="003055BB" w:rsidP="003055BB">
      <w:pPr>
        <w:pStyle w:val="xxmsonormal"/>
        <w:numPr>
          <w:ilvl w:val="0"/>
          <w:numId w:val="1"/>
        </w:numPr>
        <w:ind w:left="1440"/>
        <w:jc w:val="both"/>
      </w:pPr>
      <w:r>
        <w:rPr>
          <w:rFonts w:ascii="Arial" w:hAnsi="Arial" w:cs="Arial"/>
        </w:rPr>
        <w:t xml:space="preserve">General.  The completed control panel shall be constructed in accordance with UL Std. 508A, Industrial Control Panel, and carry the UL label. Wire terminations shall be </w:t>
      </w:r>
      <w:proofErr w:type="gramStart"/>
      <w:r>
        <w:rPr>
          <w:rFonts w:ascii="Arial" w:hAnsi="Arial" w:cs="Arial"/>
        </w:rPr>
        <w:t>UL listed</w:t>
      </w:r>
      <w:proofErr w:type="gramEnd"/>
      <w:r>
        <w:rPr>
          <w:rFonts w:ascii="Arial" w:hAnsi="Arial" w:cs="Arial"/>
        </w:rPr>
        <w:t>.</w:t>
      </w:r>
    </w:p>
    <w:p w14:paraId="1DADF89B" w14:textId="77777777" w:rsidR="003055BB" w:rsidRDefault="003055BB" w:rsidP="003055BB">
      <w:pPr>
        <w:pStyle w:val="xxmsonormal"/>
        <w:jc w:val="both"/>
      </w:pPr>
      <w:r>
        <w:rPr>
          <w:rFonts w:ascii="Arial" w:hAnsi="Arial" w:cs="Arial"/>
          <w:sz w:val="18"/>
          <w:szCs w:val="18"/>
        </w:rPr>
        <w:t> </w:t>
      </w:r>
    </w:p>
    <w:p w14:paraId="362712BF" w14:textId="77777777" w:rsidR="003055BB" w:rsidRDefault="003055BB" w:rsidP="003055BB">
      <w:pPr>
        <w:pStyle w:val="xxmsonormal"/>
        <w:numPr>
          <w:ilvl w:val="0"/>
          <w:numId w:val="2"/>
        </w:numPr>
        <w:ind w:left="1440"/>
        <w:jc w:val="both"/>
      </w:pPr>
      <w:r>
        <w:rPr>
          <w:rFonts w:ascii="Arial" w:hAnsi="Arial" w:cs="Arial"/>
        </w:rPr>
        <w:t>Enclosures.</w:t>
      </w:r>
    </w:p>
    <w:p w14:paraId="14070B52" w14:textId="77777777" w:rsidR="003055BB" w:rsidRDefault="003055BB" w:rsidP="003055BB">
      <w:pPr>
        <w:pStyle w:val="xxmsonormal"/>
        <w:numPr>
          <w:ilvl w:val="1"/>
          <w:numId w:val="2"/>
        </w:numPr>
        <w:ind w:left="1800"/>
        <w:jc w:val="both"/>
      </w:pPr>
      <w:r w:rsidRPr="000E53B0">
        <w:rPr>
          <w:rFonts w:cs="Arial"/>
        </w:rPr>
        <w:t xml:space="preserve">Ground Mounted Cabinet.  The cabinet shall be UL 50, NEMA Type 3R unfinished with a customer &amp; utility section with lockable hasp design.  The </w:t>
      </w:r>
      <w:r>
        <w:rPr>
          <w:rFonts w:ascii="Arial" w:hAnsi="Arial" w:cs="Arial"/>
        </w:rPr>
        <w:t xml:space="preserve">cabinet shall be constructed from raw uncoated aluminum.  Seams shall be </w:t>
      </w:r>
      <w:proofErr w:type="gramStart"/>
      <w:r>
        <w:rPr>
          <w:rFonts w:ascii="Arial" w:hAnsi="Arial" w:cs="Arial"/>
        </w:rPr>
        <w:t>continuous</w:t>
      </w:r>
      <w:proofErr w:type="gramEnd"/>
      <w:r>
        <w:rPr>
          <w:rFonts w:ascii="Arial" w:hAnsi="Arial" w:cs="Arial"/>
        </w:rPr>
        <w:t xml:space="preserve"> welded and ground smooth.   Hinges shall be stainless steel and piano type.   The cabinet shall be 16” wide.  The cabinet shall be bolted with stainless steel hardware to mounting base secured in concrete pad as indicated on the plans.  The foundation is paid for separately.</w:t>
      </w:r>
    </w:p>
    <w:p w14:paraId="6D4A0BC6" w14:textId="77777777" w:rsidR="003055BB" w:rsidRDefault="003055BB" w:rsidP="003055BB">
      <w:pPr>
        <w:pStyle w:val="xxmsonormal"/>
        <w:ind w:left="1440"/>
        <w:jc w:val="both"/>
      </w:pPr>
      <w:r>
        <w:rPr>
          <w:rFonts w:ascii="Arial" w:hAnsi="Arial" w:cs="Arial"/>
          <w:sz w:val="18"/>
          <w:szCs w:val="18"/>
        </w:rPr>
        <w:t> </w:t>
      </w:r>
    </w:p>
    <w:p w14:paraId="4CB2939B" w14:textId="77777777" w:rsidR="003055BB" w:rsidRDefault="003055BB" w:rsidP="003055BB">
      <w:pPr>
        <w:pStyle w:val="xxmsonormal"/>
        <w:numPr>
          <w:ilvl w:val="0"/>
          <w:numId w:val="3"/>
        </w:numPr>
        <w:ind w:left="1440"/>
        <w:jc w:val="both"/>
      </w:pPr>
      <w:r>
        <w:rPr>
          <w:rFonts w:ascii="Arial" w:hAnsi="Arial" w:cs="Arial"/>
        </w:rPr>
        <w:t xml:space="preserve">Electric Utility Meter Housing.  The electric meter housing and meter socket shall be supplied and installed by the contractor. The contractor is to coordinate the work to be </w:t>
      </w:r>
      <w:proofErr w:type="gramStart"/>
      <w:r>
        <w:rPr>
          <w:rFonts w:ascii="Arial" w:hAnsi="Arial" w:cs="Arial"/>
        </w:rPr>
        <w:t>performed</w:t>
      </w:r>
      <w:proofErr w:type="gramEnd"/>
      <w:r>
        <w:rPr>
          <w:rFonts w:ascii="Arial" w:hAnsi="Arial" w:cs="Arial"/>
        </w:rPr>
        <w:t xml:space="preserve"> and the materials required with the utility company to make the final connection at the power source.  Electric utility required risers, weather/service head and any other materials necessary for connection shall also be included in the pay item.  Materials shall be in accordance with the electric utility’s requirements. For ground-mounted service, the electric utility meter shall be exposed. The meter shall be supplied by the utility company. Metered service shall not be used unless specified in the plans.</w:t>
      </w:r>
    </w:p>
    <w:p w14:paraId="79D571B4" w14:textId="77777777" w:rsidR="003055BB" w:rsidRDefault="003055BB" w:rsidP="003055BB">
      <w:pPr>
        <w:pStyle w:val="xxmsonormal"/>
        <w:ind w:left="1800"/>
        <w:jc w:val="both"/>
      </w:pPr>
      <w:r>
        <w:rPr>
          <w:rFonts w:ascii="Arial" w:hAnsi="Arial" w:cs="Arial"/>
        </w:rPr>
        <w:t> </w:t>
      </w:r>
    </w:p>
    <w:p w14:paraId="0C7802C6" w14:textId="77777777" w:rsidR="003055BB" w:rsidRDefault="003055BB" w:rsidP="003055BB">
      <w:pPr>
        <w:pStyle w:val="xxmsonormal"/>
        <w:numPr>
          <w:ilvl w:val="0"/>
          <w:numId w:val="4"/>
        </w:numPr>
        <w:ind w:left="1440"/>
        <w:jc w:val="both"/>
      </w:pPr>
      <w:r>
        <w:rPr>
          <w:rFonts w:ascii="Arial" w:hAnsi="Arial" w:cs="Arial"/>
        </w:rPr>
        <w:t xml:space="preserve">Surge Protector.  SPD installed on load side of main breaker Hubbel Part HBLSDSA36 -- 36KA single phase with LED indicator or equal.  </w:t>
      </w:r>
    </w:p>
    <w:p w14:paraId="730F2D7C" w14:textId="77777777" w:rsidR="003055BB" w:rsidRDefault="003055BB" w:rsidP="003055BB">
      <w:pPr>
        <w:pStyle w:val="xxmsonormal"/>
        <w:jc w:val="both"/>
      </w:pPr>
      <w:r>
        <w:rPr>
          <w:rFonts w:ascii="Arial" w:hAnsi="Arial" w:cs="Arial"/>
        </w:rPr>
        <w:t> </w:t>
      </w:r>
    </w:p>
    <w:p w14:paraId="2850D9CC" w14:textId="77777777" w:rsidR="003055BB" w:rsidRDefault="003055BB" w:rsidP="003055BB">
      <w:pPr>
        <w:pStyle w:val="xxmsonormal"/>
        <w:numPr>
          <w:ilvl w:val="0"/>
          <w:numId w:val="5"/>
        </w:numPr>
        <w:ind w:left="1440"/>
        <w:jc w:val="both"/>
      </w:pPr>
      <w:r>
        <w:rPr>
          <w:rFonts w:ascii="Arial" w:hAnsi="Arial" w:cs="Arial"/>
        </w:rPr>
        <w:t xml:space="preserve">Circuit Breakers.  Circuit breakers shall be standard UL listed molded case, thermal-magnetic bolt-on type circuit breakers with trip free indicating handles.  Must include lug to lug connections.  Circuit breakers need to be 480 V </w:t>
      </w:r>
      <w:r>
        <w:rPr>
          <w:rFonts w:ascii="Arial" w:hAnsi="Arial" w:cs="Arial"/>
        </w:rPr>
        <w:lastRenderedPageBreak/>
        <w:t xml:space="preserve">rated Cutler EHD series or equal.  Unless otherwise indicated, the main disconnect circuit breaker shall be rated 100 amperes, 120 V-240V single phase 3 wire.   The auxiliary circuit breakers shall be rated 30 amp-2pole, 120 V-240V for signals and 20 amp-2 pole, 120V-240V for lighting.  </w:t>
      </w:r>
    </w:p>
    <w:p w14:paraId="40C02261" w14:textId="77777777" w:rsidR="003055BB" w:rsidRDefault="003055BB" w:rsidP="003055BB">
      <w:pPr>
        <w:pStyle w:val="xxmsonormal"/>
        <w:jc w:val="both"/>
      </w:pPr>
      <w:r>
        <w:rPr>
          <w:rFonts w:ascii="Arial" w:hAnsi="Arial" w:cs="Arial"/>
        </w:rPr>
        <w:t> </w:t>
      </w:r>
    </w:p>
    <w:p w14:paraId="25F3B0B7" w14:textId="77777777" w:rsidR="003055BB" w:rsidRDefault="003055BB" w:rsidP="003055BB">
      <w:pPr>
        <w:pStyle w:val="xxmsonormal"/>
        <w:numPr>
          <w:ilvl w:val="0"/>
          <w:numId w:val="6"/>
        </w:numPr>
        <w:ind w:left="1440"/>
        <w:jc w:val="both"/>
      </w:pPr>
      <w:r>
        <w:rPr>
          <w:rFonts w:ascii="Arial" w:hAnsi="Arial" w:cs="Arial"/>
        </w:rPr>
        <w:t>GFCI Receptacle.  A 20 Amp GFCI shall be mounted to dead front.</w:t>
      </w:r>
    </w:p>
    <w:p w14:paraId="10CF2F48" w14:textId="77777777" w:rsidR="003055BB" w:rsidRDefault="003055BB" w:rsidP="003055BB">
      <w:pPr>
        <w:pStyle w:val="xxmsonormal"/>
        <w:ind w:left="1440"/>
        <w:jc w:val="both"/>
      </w:pPr>
      <w:r>
        <w:rPr>
          <w:rFonts w:ascii="Arial" w:hAnsi="Arial" w:cs="Arial"/>
        </w:rPr>
        <w:t> </w:t>
      </w:r>
    </w:p>
    <w:p w14:paraId="7755859D" w14:textId="77777777" w:rsidR="003055BB" w:rsidRDefault="003055BB" w:rsidP="003055BB">
      <w:pPr>
        <w:pStyle w:val="xxmsonormal"/>
        <w:numPr>
          <w:ilvl w:val="0"/>
          <w:numId w:val="7"/>
        </w:numPr>
        <w:ind w:left="1440"/>
        <w:jc w:val="both"/>
      </w:pPr>
      <w:r>
        <w:rPr>
          <w:rFonts w:ascii="Arial" w:hAnsi="Arial" w:cs="Arial"/>
        </w:rPr>
        <w:t xml:space="preserve">Lighting Circuit.  If lighting circuits are present in power supply, a </w:t>
      </w:r>
      <w:proofErr w:type="gramStart"/>
      <w:r>
        <w:rPr>
          <w:rFonts w:ascii="Arial" w:hAnsi="Arial" w:cs="Arial"/>
        </w:rPr>
        <w:t>photo cell</w:t>
      </w:r>
      <w:proofErr w:type="gramEnd"/>
      <w:r>
        <w:rPr>
          <w:rFonts w:ascii="Arial" w:hAnsi="Arial" w:cs="Arial"/>
        </w:rPr>
        <w:t xml:space="preserve"> &amp; a hand off auto (HOA) will be required.  </w:t>
      </w:r>
      <w:proofErr w:type="gramStart"/>
      <w:r>
        <w:rPr>
          <w:rFonts w:ascii="Arial" w:hAnsi="Arial" w:cs="Arial"/>
        </w:rPr>
        <w:t>Photo cell</w:t>
      </w:r>
      <w:proofErr w:type="gramEnd"/>
      <w:r>
        <w:rPr>
          <w:rFonts w:ascii="Arial" w:hAnsi="Arial" w:cs="Arial"/>
        </w:rPr>
        <w:t xml:space="preserve"> to </w:t>
      </w:r>
      <w:proofErr w:type="gramStart"/>
      <w:r>
        <w:rPr>
          <w:rFonts w:ascii="Arial" w:hAnsi="Arial" w:cs="Arial"/>
        </w:rPr>
        <w:t>be</w:t>
      </w:r>
      <w:proofErr w:type="gramEnd"/>
      <w:r>
        <w:rPr>
          <w:rFonts w:ascii="Arial" w:hAnsi="Arial" w:cs="Arial"/>
        </w:rPr>
        <w:t xml:space="preserve"> mounted internally with a window and external shield.  A contactor 30A-</w:t>
      </w:r>
      <w:proofErr w:type="gramStart"/>
      <w:r>
        <w:rPr>
          <w:rFonts w:ascii="Arial" w:hAnsi="Arial" w:cs="Arial"/>
        </w:rPr>
        <w:t>2 pole</w:t>
      </w:r>
      <w:proofErr w:type="gramEnd"/>
      <w:r>
        <w:rPr>
          <w:rFonts w:ascii="Arial" w:hAnsi="Arial" w:cs="Arial"/>
        </w:rPr>
        <w:t xml:space="preserve"> electrically held (120V coil) is needed for each lighting    circuit.  Contactor </w:t>
      </w:r>
      <w:proofErr w:type="gramStart"/>
      <w:r>
        <w:rPr>
          <w:rFonts w:ascii="Arial" w:hAnsi="Arial" w:cs="Arial"/>
        </w:rPr>
        <w:t>shall</w:t>
      </w:r>
      <w:proofErr w:type="gramEnd"/>
      <w:r>
        <w:rPr>
          <w:rFonts w:ascii="Arial" w:hAnsi="Arial" w:cs="Arial"/>
        </w:rPr>
        <w:t xml:space="preserve"> be square D 8903LO20V02 or equal.  </w:t>
      </w:r>
    </w:p>
    <w:p w14:paraId="26F3DB89" w14:textId="77777777" w:rsidR="003055BB" w:rsidRDefault="003055BB" w:rsidP="003055BB">
      <w:pPr>
        <w:pStyle w:val="xxmsonormal"/>
        <w:ind w:left="1440"/>
        <w:jc w:val="both"/>
      </w:pPr>
      <w:r>
        <w:rPr>
          <w:rFonts w:ascii="Arial" w:hAnsi="Arial" w:cs="Arial"/>
        </w:rPr>
        <w:t> </w:t>
      </w:r>
    </w:p>
    <w:p w14:paraId="7439E837" w14:textId="77777777" w:rsidR="003055BB" w:rsidRDefault="003055BB" w:rsidP="003055BB">
      <w:pPr>
        <w:pStyle w:val="xxmsonormal"/>
        <w:numPr>
          <w:ilvl w:val="0"/>
          <w:numId w:val="8"/>
        </w:numPr>
        <w:ind w:left="1440"/>
        <w:jc w:val="both"/>
      </w:pPr>
      <w:r>
        <w:rPr>
          <w:rFonts w:ascii="Arial" w:hAnsi="Arial" w:cs="Arial"/>
        </w:rPr>
        <w:t xml:space="preserve">Ground and Neutral Bus Bars.  A single copper ground and neutral bus bar, mounted on the equipment panel shall be provided.  </w:t>
      </w:r>
    </w:p>
    <w:p w14:paraId="6C8E70D3" w14:textId="77777777" w:rsidR="003055BB" w:rsidRDefault="003055BB" w:rsidP="003055BB">
      <w:pPr>
        <w:pStyle w:val="xxmsonormal"/>
        <w:jc w:val="both"/>
      </w:pPr>
      <w:r>
        <w:rPr>
          <w:rFonts w:ascii="Arial" w:hAnsi="Arial" w:cs="Arial"/>
        </w:rPr>
        <w:t> </w:t>
      </w:r>
    </w:p>
    <w:p w14:paraId="2F8B4FC1" w14:textId="77777777" w:rsidR="003055BB" w:rsidRDefault="003055BB" w:rsidP="003055BB">
      <w:pPr>
        <w:pStyle w:val="xxmsonormal"/>
        <w:numPr>
          <w:ilvl w:val="0"/>
          <w:numId w:val="9"/>
        </w:numPr>
        <w:ind w:left="1440"/>
        <w:jc w:val="both"/>
      </w:pPr>
      <w:r>
        <w:rPr>
          <w:rFonts w:ascii="Arial" w:hAnsi="Arial" w:cs="Arial"/>
        </w:rPr>
        <w:t xml:space="preserve">Utility Services Connection.  The Contractor shall notify the Utility Company marketing representative a minimum of 30 working days prior to the anticipated date of hook-up.  This </w:t>
      </w:r>
      <w:proofErr w:type="gramStart"/>
      <w:r>
        <w:rPr>
          <w:rFonts w:ascii="Arial" w:hAnsi="Arial" w:cs="Arial"/>
        </w:rPr>
        <w:t>30 day</w:t>
      </w:r>
      <w:proofErr w:type="gramEnd"/>
      <w:r>
        <w:rPr>
          <w:rFonts w:ascii="Arial" w:hAnsi="Arial" w:cs="Arial"/>
        </w:rPr>
        <w:t xml:space="preserve"> advance notification will begin only after the Utility Company marketing representative has received service charge payments from the Contractor.  Prior to contacting the Utility Company marketing representative for service connection, the service installation controller cabinet and cable must be installed for inspection by the Utility Company.</w:t>
      </w:r>
    </w:p>
    <w:p w14:paraId="0E7F77C2" w14:textId="77777777" w:rsidR="003055BB" w:rsidRDefault="003055BB" w:rsidP="003055BB">
      <w:pPr>
        <w:pStyle w:val="xxmsonormal"/>
        <w:jc w:val="both"/>
      </w:pPr>
      <w:r>
        <w:rPr>
          <w:rFonts w:ascii="Arial" w:hAnsi="Arial" w:cs="Arial"/>
        </w:rPr>
        <w:t> </w:t>
      </w:r>
    </w:p>
    <w:p w14:paraId="4B21FC62" w14:textId="77777777" w:rsidR="003055BB" w:rsidRDefault="003055BB" w:rsidP="003055BB">
      <w:pPr>
        <w:pStyle w:val="xxmsonormal"/>
        <w:numPr>
          <w:ilvl w:val="0"/>
          <w:numId w:val="10"/>
        </w:numPr>
        <w:ind w:left="1440"/>
        <w:jc w:val="both"/>
      </w:pPr>
      <w:r>
        <w:rPr>
          <w:rFonts w:ascii="Arial" w:hAnsi="Arial" w:cs="Arial"/>
        </w:rPr>
        <w:t xml:space="preserve">Ground Rod.  Ground rods shall be copper-clad steel, a minimum of 8 feet (3.0m) in length, and 3/4 inch (20mm) in diameter. Ground rod resistance measurements to ground shall be 10 ohms or less.  If necessary additional rods </w:t>
      </w:r>
      <w:proofErr w:type="gramStart"/>
      <w:r>
        <w:rPr>
          <w:rFonts w:ascii="Arial" w:hAnsi="Arial" w:cs="Arial"/>
        </w:rPr>
        <w:t>shall</w:t>
      </w:r>
      <w:proofErr w:type="gramEnd"/>
      <w:r>
        <w:rPr>
          <w:rFonts w:ascii="Arial" w:hAnsi="Arial" w:cs="Arial"/>
        </w:rPr>
        <w:t xml:space="preserve"> be installed to meet resistance requirements at no additional cost to the contract.</w:t>
      </w:r>
    </w:p>
    <w:p w14:paraId="71DC0A33" w14:textId="77777777" w:rsidR="003055BB" w:rsidRDefault="003055BB" w:rsidP="003055BB"/>
    <w:p w14:paraId="21803520" w14:textId="77777777" w:rsidR="003055BB" w:rsidRPr="00563B62" w:rsidRDefault="003055BB" w:rsidP="003055BB">
      <w:pPr>
        <w:pStyle w:val="xxmsonormal"/>
        <w:jc w:val="both"/>
        <w:rPr>
          <w:b/>
          <w:bCs/>
        </w:rPr>
      </w:pPr>
      <w:r w:rsidRPr="00563B62">
        <w:rPr>
          <w:rFonts w:ascii="Arial" w:hAnsi="Arial" w:cs="Arial"/>
          <w:b/>
          <w:bCs/>
        </w:rPr>
        <w:t>Installation</w:t>
      </w:r>
      <w:r>
        <w:rPr>
          <w:rFonts w:ascii="Arial" w:hAnsi="Arial" w:cs="Arial"/>
          <w:b/>
          <w:bCs/>
        </w:rPr>
        <w:t>:</w:t>
      </w:r>
    </w:p>
    <w:p w14:paraId="4E82C3FF" w14:textId="77777777" w:rsidR="003055BB" w:rsidRDefault="003055BB" w:rsidP="003055BB">
      <w:pPr>
        <w:pStyle w:val="xxmsonormal"/>
        <w:ind w:left="1080" w:hanging="360"/>
        <w:jc w:val="both"/>
      </w:pPr>
      <w:r>
        <w:rPr>
          <w:rFonts w:ascii="Arial" w:hAnsi="Arial" w:cs="Arial"/>
        </w:rPr>
        <w:t>a.</w:t>
      </w:r>
      <w:r>
        <w:rPr>
          <w:rFonts w:ascii="Times New Roman" w:hAnsi="Times New Roman" w:cs="Times New Roman"/>
          <w:sz w:val="14"/>
          <w:szCs w:val="14"/>
        </w:rPr>
        <w:t xml:space="preserve">    </w:t>
      </w:r>
      <w:r>
        <w:rPr>
          <w:rFonts w:ascii="Arial" w:hAnsi="Arial" w:cs="Arial"/>
        </w:rPr>
        <w:t>General.  The Contractor shall confirm the orientation of the traffic service installation and its door side with the engineer, prior to installation.  All conduit entrances into the service installation shall be sealed with a pliable waterproof material.</w:t>
      </w:r>
    </w:p>
    <w:p w14:paraId="09A5F065" w14:textId="77777777" w:rsidR="003055BB" w:rsidRDefault="003055BB" w:rsidP="003055BB">
      <w:pPr>
        <w:pStyle w:val="xxmsonormal"/>
        <w:jc w:val="both"/>
      </w:pPr>
      <w:r>
        <w:rPr>
          <w:rFonts w:ascii="Arial" w:hAnsi="Arial" w:cs="Arial"/>
        </w:rPr>
        <w:t> </w:t>
      </w:r>
    </w:p>
    <w:p w14:paraId="3E04159A" w14:textId="77777777" w:rsidR="003055BB" w:rsidRDefault="003055BB" w:rsidP="003055BB">
      <w:pPr>
        <w:pStyle w:val="xxmsonormal"/>
        <w:ind w:left="1080" w:hanging="360"/>
        <w:jc w:val="both"/>
      </w:pPr>
      <w:r>
        <w:rPr>
          <w:rFonts w:ascii="Arial" w:hAnsi="Arial" w:cs="Arial"/>
        </w:rPr>
        <w:t>b.</w:t>
      </w:r>
      <w:r>
        <w:rPr>
          <w:rFonts w:ascii="Times New Roman" w:hAnsi="Times New Roman" w:cs="Times New Roman"/>
          <w:sz w:val="14"/>
          <w:szCs w:val="14"/>
        </w:rPr>
        <w:t xml:space="preserve">    </w:t>
      </w:r>
      <w:r>
        <w:rPr>
          <w:rFonts w:ascii="Arial" w:hAnsi="Arial" w:cs="Arial"/>
        </w:rPr>
        <w:t xml:space="preserve">Ground Mounted.  The service installation </w:t>
      </w:r>
      <w:proofErr w:type="gramStart"/>
      <w:r>
        <w:rPr>
          <w:rFonts w:ascii="Arial" w:hAnsi="Arial" w:cs="Arial"/>
        </w:rPr>
        <w:t>shall</w:t>
      </w:r>
      <w:proofErr w:type="gramEnd"/>
      <w:r>
        <w:rPr>
          <w:rFonts w:ascii="Arial" w:hAnsi="Arial" w:cs="Arial"/>
        </w:rPr>
        <w:t xml:space="preserve"> be mounted plumb and level on the foundation.  The space between the bottom of the enclosure and the top of the foundation shall be caulked at the base with silicone.</w:t>
      </w:r>
    </w:p>
    <w:p w14:paraId="3DBD96A7" w14:textId="77777777" w:rsidR="003055BB" w:rsidRDefault="003055BB" w:rsidP="003055BB">
      <w:pPr>
        <w:pStyle w:val="xxmsonormal"/>
        <w:jc w:val="both"/>
      </w:pPr>
      <w:r>
        <w:rPr>
          <w:rFonts w:ascii="Arial" w:hAnsi="Arial" w:cs="Arial"/>
        </w:rPr>
        <w:t> </w:t>
      </w:r>
    </w:p>
    <w:p w14:paraId="2D49591D" w14:textId="77777777" w:rsidR="003055BB" w:rsidRPr="006E29D4" w:rsidRDefault="003055BB" w:rsidP="003055BB">
      <w:pPr>
        <w:pStyle w:val="xxmsonormal"/>
        <w:jc w:val="both"/>
        <w:rPr>
          <w:b/>
          <w:bCs/>
        </w:rPr>
      </w:pPr>
      <w:r w:rsidRPr="006E29D4">
        <w:rPr>
          <w:rFonts w:ascii="Arial" w:hAnsi="Arial" w:cs="Arial"/>
          <w:b/>
          <w:bCs/>
        </w:rPr>
        <w:t>Basis of Payment</w:t>
      </w:r>
      <w:r>
        <w:rPr>
          <w:rFonts w:ascii="Arial" w:hAnsi="Arial" w:cs="Arial"/>
          <w:b/>
          <w:bCs/>
        </w:rPr>
        <w:t xml:space="preserve">: </w:t>
      </w:r>
      <w:r>
        <w:rPr>
          <w:rFonts w:ascii="Arial" w:hAnsi="Arial" w:cs="Arial"/>
        </w:rPr>
        <w:t xml:space="preserve">The service installation shall be paid for at the contract unit price each for SERVICE INSTALLATION of the </w:t>
      </w:r>
      <w:proofErr w:type="gramStart"/>
      <w:r>
        <w:rPr>
          <w:rFonts w:ascii="Arial" w:hAnsi="Arial" w:cs="Arial"/>
        </w:rPr>
        <w:t>type specified</w:t>
      </w:r>
      <w:proofErr w:type="gramEnd"/>
      <w:r>
        <w:rPr>
          <w:rFonts w:ascii="Arial" w:hAnsi="Arial" w:cs="Arial"/>
        </w:rPr>
        <w:t xml:space="preserve"> which shall be payment in full for furnishing and installing the service installation complete.  The CONCRETE FOUNDATION, which includes the ground rod, shall be paid for separately at the contract unit price per cubic yard.  Any charges by the utility companies shall be approved by the engineer and paid for as an addition to the contract according to Article 109.05 of the Standard Specifications.</w:t>
      </w:r>
    </w:p>
    <w:p w14:paraId="31588DC6" w14:textId="77777777" w:rsidR="00ED42D8" w:rsidRDefault="00ED42D8"/>
    <w:sectPr w:rsidR="00ED42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D25DF"/>
    <w:multiLevelType w:val="multilevel"/>
    <w:tmpl w:val="3FA0339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1CB1798D"/>
    <w:multiLevelType w:val="multilevel"/>
    <w:tmpl w:val="C5E2F13C"/>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15:restartNumberingAfterBreak="0">
    <w:nsid w:val="1F1F285A"/>
    <w:multiLevelType w:val="multilevel"/>
    <w:tmpl w:val="9D622754"/>
    <w:lvl w:ilvl="0">
      <w:start w:val="6"/>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 w15:restartNumberingAfterBreak="0">
    <w:nsid w:val="2311733B"/>
    <w:multiLevelType w:val="multilevel"/>
    <w:tmpl w:val="CFA6CDD2"/>
    <w:lvl w:ilvl="0">
      <w:start w:val="10"/>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 w15:restartNumberingAfterBreak="0">
    <w:nsid w:val="23367C6F"/>
    <w:multiLevelType w:val="multilevel"/>
    <w:tmpl w:val="E188C09A"/>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 w15:restartNumberingAfterBreak="0">
    <w:nsid w:val="294030AA"/>
    <w:multiLevelType w:val="multilevel"/>
    <w:tmpl w:val="2F7C3454"/>
    <w:lvl w:ilvl="0">
      <w:start w:val="8"/>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 w15:restartNumberingAfterBreak="0">
    <w:nsid w:val="2FA0505E"/>
    <w:multiLevelType w:val="multilevel"/>
    <w:tmpl w:val="EA789DA0"/>
    <w:lvl w:ilvl="0">
      <w:start w:val="9"/>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7" w15:restartNumberingAfterBreak="0">
    <w:nsid w:val="4B6E7618"/>
    <w:multiLevelType w:val="multilevel"/>
    <w:tmpl w:val="8424E2CE"/>
    <w:lvl w:ilvl="0">
      <w:start w:val="7"/>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 w15:restartNumberingAfterBreak="0">
    <w:nsid w:val="54D95BA9"/>
    <w:multiLevelType w:val="multilevel"/>
    <w:tmpl w:val="5650B996"/>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0">
    <w:nsid w:val="5DFA03CB"/>
    <w:multiLevelType w:val="multilevel"/>
    <w:tmpl w:val="588C4A4C"/>
    <w:lvl w:ilvl="0">
      <w:start w:val="2"/>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num w:numId="1" w16cid:durableId="1094703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0405555">
    <w:abstractNumId w:val="9"/>
  </w:num>
  <w:num w:numId="3" w16cid:durableId="200503872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716619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8513298">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66319007">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3132968">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2815559">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8277974">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9741057">
    <w:abstractNumId w:val="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5BB"/>
    <w:rsid w:val="003055BB"/>
    <w:rsid w:val="003E1F80"/>
    <w:rsid w:val="00CC2D49"/>
    <w:rsid w:val="00ED4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2D811"/>
  <w15:chartTrackingRefBased/>
  <w15:docId w15:val="{DA803916-AEA2-4E67-8D9B-56864F07B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5BB"/>
    <w:pPr>
      <w:spacing w:after="0" w:line="240" w:lineRule="auto"/>
      <w:jc w:val="both"/>
    </w:pPr>
    <w:rPr>
      <w:rFonts w:ascii="Arial" w:eastAsia="Times New Roman" w:hAnsi="Arial" w:cs="Times New Roman"/>
      <w:kern w:val="0"/>
      <w:szCs w:val="20"/>
      <w14:ligatures w14:val="none"/>
    </w:rPr>
  </w:style>
  <w:style w:type="paragraph" w:styleId="Heading1">
    <w:name w:val="heading 1"/>
    <w:basedOn w:val="Normal"/>
    <w:next w:val="Normal"/>
    <w:link w:val="Heading1Char"/>
    <w:uiPriority w:val="9"/>
    <w:qFormat/>
    <w:rsid w:val="003055B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3055B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055B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055B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055B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055B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55B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55B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55B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5B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3055B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055B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055B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3055B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3055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55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55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55BB"/>
    <w:rPr>
      <w:rFonts w:eastAsiaTheme="majorEastAsia" w:cstheme="majorBidi"/>
      <w:color w:val="272727" w:themeColor="text1" w:themeTint="D8"/>
    </w:rPr>
  </w:style>
  <w:style w:type="paragraph" w:styleId="Title">
    <w:name w:val="Title"/>
    <w:basedOn w:val="Normal"/>
    <w:next w:val="Normal"/>
    <w:link w:val="TitleChar"/>
    <w:uiPriority w:val="10"/>
    <w:qFormat/>
    <w:rsid w:val="003055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5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5B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55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55B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055BB"/>
    <w:rPr>
      <w:i/>
      <w:iCs/>
      <w:color w:val="404040" w:themeColor="text1" w:themeTint="BF"/>
    </w:rPr>
  </w:style>
  <w:style w:type="paragraph" w:styleId="ListParagraph">
    <w:name w:val="List Paragraph"/>
    <w:basedOn w:val="Normal"/>
    <w:uiPriority w:val="34"/>
    <w:qFormat/>
    <w:rsid w:val="003055BB"/>
    <w:pPr>
      <w:ind w:left="720"/>
      <w:contextualSpacing/>
    </w:pPr>
  </w:style>
  <w:style w:type="character" w:styleId="IntenseEmphasis">
    <w:name w:val="Intense Emphasis"/>
    <w:basedOn w:val="DefaultParagraphFont"/>
    <w:uiPriority w:val="21"/>
    <w:qFormat/>
    <w:rsid w:val="003055BB"/>
    <w:rPr>
      <w:i/>
      <w:iCs/>
      <w:color w:val="365F91" w:themeColor="accent1" w:themeShade="BF"/>
    </w:rPr>
  </w:style>
  <w:style w:type="paragraph" w:styleId="IntenseQuote">
    <w:name w:val="Intense Quote"/>
    <w:basedOn w:val="Normal"/>
    <w:next w:val="Normal"/>
    <w:link w:val="IntenseQuoteChar"/>
    <w:uiPriority w:val="30"/>
    <w:qFormat/>
    <w:rsid w:val="003055B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055BB"/>
    <w:rPr>
      <w:i/>
      <w:iCs/>
      <w:color w:val="365F91" w:themeColor="accent1" w:themeShade="BF"/>
    </w:rPr>
  </w:style>
  <w:style w:type="character" w:styleId="IntenseReference">
    <w:name w:val="Intense Reference"/>
    <w:basedOn w:val="DefaultParagraphFont"/>
    <w:uiPriority w:val="32"/>
    <w:qFormat/>
    <w:rsid w:val="003055BB"/>
    <w:rPr>
      <w:b/>
      <w:bCs/>
      <w:smallCaps/>
      <w:color w:val="365F91" w:themeColor="accent1" w:themeShade="BF"/>
      <w:spacing w:val="5"/>
    </w:rPr>
  </w:style>
  <w:style w:type="paragraph" w:customStyle="1" w:styleId="xxmsonormal">
    <w:name w:val="x_x_msonormal"/>
    <w:basedOn w:val="Normal"/>
    <w:rsid w:val="003055BB"/>
    <w:pPr>
      <w:jc w:val="left"/>
    </w:pPr>
    <w:rPr>
      <w:rFonts w:ascii="Calibri" w:eastAsiaTheme="minorHAnsi" w:hAnsi="Calibri" w:cs="Calibri"/>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799</Words>
  <Characters>4558</Characters>
  <Application>Microsoft Office Word</Application>
  <DocSecurity>0</DocSecurity>
  <Lines>37</Lines>
  <Paragraphs>10</Paragraphs>
  <ScaleCrop>false</ScaleCrop>
  <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Greenlee, Sean M</dc:creator>
  <cp:keywords/>
  <dc:description/>
  <cp:lastModifiedBy>Greenlee, Sean M</cp:lastModifiedBy>
  <cp:revision>1</cp:revision>
  <dcterms:created xsi:type="dcterms:W3CDTF">2026-09-15T13:32:00Z</dcterms:created>
  <dcterms:modified xsi:type="dcterms:W3CDTF">2026-09-15T13:32:00Z</dcterms:modified>
</cp:coreProperties>
</file>